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EC18" w14:textId="0AE25F1E" w:rsidR="00631474" w:rsidRPr="00440D28" w:rsidRDefault="00631474" w:rsidP="00600FE4">
      <w:pPr>
        <w:spacing w:line="240" w:lineRule="auto"/>
        <w:rPr>
          <w:rFonts w:ascii="Times New Roman" w:hAnsi="Times New Roman" w:cs="Times New Roman"/>
          <w:sz w:val="32"/>
          <w:lang w:val="en-US"/>
        </w:rPr>
      </w:pPr>
      <w:r w:rsidRPr="00440D28">
        <w:rPr>
          <w:rFonts w:ascii="Times New Roman" w:hAnsi="Times New Roman" w:cs="Times New Roman"/>
          <w:sz w:val="32"/>
          <w:lang w:val="en-US"/>
        </w:rPr>
        <w:t>‘What helps…this everlasting love?’: an examination of womanly and queenly virtue through depictions of classical women in late Elizabethan Theatre</w:t>
      </w:r>
    </w:p>
    <w:p w14:paraId="13DB2A62" w14:textId="4ED36569" w:rsidR="00647636" w:rsidRPr="00720507" w:rsidRDefault="00C10197" w:rsidP="00600FE4">
      <w:pPr>
        <w:spacing w:line="240" w:lineRule="auto"/>
        <w:jc w:val="both"/>
        <w:rPr>
          <w:rFonts w:ascii="Times New Roman" w:hAnsi="Times New Roman" w:cs="Times New Roman"/>
          <w:b/>
          <w:sz w:val="32"/>
          <w:lang w:val="en-US"/>
        </w:rPr>
      </w:pPr>
      <w:r w:rsidRPr="00720507">
        <w:rPr>
          <w:rFonts w:ascii="Times New Roman" w:hAnsi="Times New Roman" w:cs="Times New Roman"/>
          <w:sz w:val="28"/>
          <w:lang w:val="en-US"/>
        </w:rPr>
        <w:t>Ross Moncrieff</w:t>
      </w:r>
    </w:p>
    <w:p w14:paraId="71154B79" w14:textId="0584ED92" w:rsidR="00C627A2" w:rsidRPr="00C627A2" w:rsidRDefault="00C627A2" w:rsidP="002D58FB">
      <w:pPr>
        <w:spacing w:line="240" w:lineRule="auto"/>
        <w:jc w:val="both"/>
        <w:rPr>
          <w:rFonts w:ascii="Times New Roman" w:hAnsi="Times New Roman" w:cs="Times New Roman"/>
          <w:sz w:val="24"/>
        </w:rPr>
      </w:pPr>
      <w:r>
        <w:rPr>
          <w:rFonts w:ascii="Times New Roman" w:hAnsi="Times New Roman" w:cs="Times New Roman"/>
          <w:sz w:val="24"/>
        </w:rPr>
        <w:t>The title</w:t>
      </w:r>
      <w:r w:rsidR="00313493">
        <w:rPr>
          <w:rFonts w:ascii="Times New Roman" w:hAnsi="Times New Roman" w:cs="Times New Roman"/>
          <w:sz w:val="24"/>
        </w:rPr>
        <w:t xml:space="preserve"> quotation</w:t>
      </w:r>
      <w:r>
        <w:rPr>
          <w:rFonts w:ascii="Times New Roman" w:hAnsi="Times New Roman" w:cs="Times New Roman"/>
          <w:sz w:val="24"/>
        </w:rPr>
        <w:t>, ‘What helps…this everlasting love?’, is spoken by Charmi</w:t>
      </w:r>
      <w:r w:rsidR="008202FF">
        <w:rPr>
          <w:rFonts w:ascii="Times New Roman" w:hAnsi="Times New Roman" w:cs="Times New Roman"/>
          <w:sz w:val="24"/>
        </w:rPr>
        <w:t>a</w:t>
      </w:r>
      <w:r>
        <w:rPr>
          <w:rFonts w:ascii="Times New Roman" w:hAnsi="Times New Roman" w:cs="Times New Roman"/>
          <w:sz w:val="24"/>
        </w:rPr>
        <w:t xml:space="preserve">n in Mary Sidney’s translation of Robert Garnier’s </w:t>
      </w:r>
      <w:r>
        <w:rPr>
          <w:rFonts w:ascii="Times New Roman" w:hAnsi="Times New Roman" w:cs="Times New Roman"/>
          <w:i/>
          <w:sz w:val="24"/>
        </w:rPr>
        <w:t>Antonius</w:t>
      </w:r>
      <w:r>
        <w:rPr>
          <w:rFonts w:ascii="Times New Roman" w:hAnsi="Times New Roman" w:cs="Times New Roman"/>
          <w:sz w:val="24"/>
        </w:rPr>
        <w:t xml:space="preserve"> (1592) </w:t>
      </w:r>
      <w:proofErr w:type="gramStart"/>
      <w:r>
        <w:rPr>
          <w:rFonts w:ascii="Times New Roman" w:hAnsi="Times New Roman" w:cs="Times New Roman"/>
          <w:sz w:val="24"/>
        </w:rPr>
        <w:t xml:space="preserve">in </w:t>
      </w:r>
      <w:r w:rsidR="008202FF">
        <w:rPr>
          <w:rFonts w:ascii="Times New Roman" w:hAnsi="Times New Roman" w:cs="Times New Roman"/>
          <w:sz w:val="24"/>
        </w:rPr>
        <w:t>an</w:t>
      </w:r>
      <w:r>
        <w:rPr>
          <w:rFonts w:ascii="Times New Roman" w:hAnsi="Times New Roman" w:cs="Times New Roman"/>
          <w:sz w:val="24"/>
        </w:rPr>
        <w:t xml:space="preserve"> attempt to</w:t>
      </w:r>
      <w:proofErr w:type="gramEnd"/>
      <w:r>
        <w:rPr>
          <w:rFonts w:ascii="Times New Roman" w:hAnsi="Times New Roman" w:cs="Times New Roman"/>
          <w:sz w:val="24"/>
        </w:rPr>
        <w:t xml:space="preserve"> convince Cleopatra to abandon Antony following the battle of Actium. Charmi</w:t>
      </w:r>
      <w:r w:rsidR="008202FF">
        <w:rPr>
          <w:rFonts w:ascii="Times New Roman" w:hAnsi="Times New Roman" w:cs="Times New Roman"/>
          <w:sz w:val="24"/>
        </w:rPr>
        <w:t>a</w:t>
      </w:r>
      <w:r>
        <w:rPr>
          <w:rFonts w:ascii="Times New Roman" w:hAnsi="Times New Roman" w:cs="Times New Roman"/>
          <w:sz w:val="24"/>
        </w:rPr>
        <w:t xml:space="preserve">n suggests that Cleopatra’s </w:t>
      </w:r>
      <w:r w:rsidR="00345304">
        <w:rPr>
          <w:rFonts w:ascii="Times New Roman" w:hAnsi="Times New Roman" w:cs="Times New Roman"/>
          <w:sz w:val="24"/>
        </w:rPr>
        <w:t>constant</w:t>
      </w:r>
      <w:r w:rsidR="00317A28">
        <w:rPr>
          <w:rFonts w:ascii="Times New Roman" w:hAnsi="Times New Roman" w:cs="Times New Roman"/>
          <w:sz w:val="24"/>
        </w:rPr>
        <w:t xml:space="preserve"> love</w:t>
      </w:r>
      <w:r>
        <w:rPr>
          <w:rFonts w:ascii="Times New Roman" w:hAnsi="Times New Roman" w:cs="Times New Roman"/>
          <w:sz w:val="24"/>
        </w:rPr>
        <w:t xml:space="preserve"> for Antony is harmful </w:t>
      </w:r>
      <w:r w:rsidR="0089371D">
        <w:rPr>
          <w:rFonts w:ascii="Times New Roman" w:hAnsi="Times New Roman" w:cs="Times New Roman"/>
          <w:sz w:val="24"/>
        </w:rPr>
        <w:t>not only to them but</w:t>
      </w:r>
      <w:r w:rsidR="007C313D">
        <w:rPr>
          <w:rFonts w:ascii="Times New Roman" w:hAnsi="Times New Roman" w:cs="Times New Roman"/>
          <w:sz w:val="24"/>
        </w:rPr>
        <w:t xml:space="preserve"> also</w:t>
      </w:r>
      <w:r w:rsidR="0089371D">
        <w:rPr>
          <w:rFonts w:ascii="Times New Roman" w:hAnsi="Times New Roman" w:cs="Times New Roman"/>
          <w:sz w:val="24"/>
        </w:rPr>
        <w:t xml:space="preserve"> to</w:t>
      </w:r>
      <w:r>
        <w:rPr>
          <w:rFonts w:ascii="Times New Roman" w:hAnsi="Times New Roman" w:cs="Times New Roman"/>
          <w:sz w:val="24"/>
        </w:rPr>
        <w:t xml:space="preserve"> her kingdom of </w:t>
      </w:r>
      <w:proofErr w:type="gramStart"/>
      <w:r>
        <w:rPr>
          <w:rFonts w:ascii="Times New Roman" w:hAnsi="Times New Roman" w:cs="Times New Roman"/>
          <w:sz w:val="24"/>
        </w:rPr>
        <w:t>Egypt, and</w:t>
      </w:r>
      <w:proofErr w:type="gramEnd"/>
      <w:r>
        <w:rPr>
          <w:rFonts w:ascii="Times New Roman" w:hAnsi="Times New Roman" w:cs="Times New Roman"/>
          <w:sz w:val="24"/>
        </w:rPr>
        <w:t xml:space="preserve"> pleads with </w:t>
      </w:r>
      <w:r w:rsidR="00E81AF6">
        <w:rPr>
          <w:rFonts w:ascii="Times New Roman" w:hAnsi="Times New Roman" w:cs="Times New Roman"/>
          <w:sz w:val="24"/>
        </w:rPr>
        <w:t>Cleopatra</w:t>
      </w:r>
      <w:r>
        <w:rPr>
          <w:rFonts w:ascii="Times New Roman" w:hAnsi="Times New Roman" w:cs="Times New Roman"/>
          <w:sz w:val="24"/>
        </w:rPr>
        <w:t xml:space="preserve"> to forsake her lover. Cleopatra refuses, saying that future generations would damn her for disloyalty in Antony’s </w:t>
      </w:r>
      <w:r w:rsidR="007C313D">
        <w:rPr>
          <w:rFonts w:ascii="Times New Roman" w:hAnsi="Times New Roman" w:cs="Times New Roman"/>
          <w:sz w:val="24"/>
        </w:rPr>
        <w:t xml:space="preserve">moment of </w:t>
      </w:r>
      <w:r>
        <w:rPr>
          <w:rFonts w:ascii="Times New Roman" w:hAnsi="Times New Roman" w:cs="Times New Roman"/>
          <w:sz w:val="24"/>
        </w:rPr>
        <w:t>greatest need.</w:t>
      </w:r>
      <w:r w:rsidR="00002825">
        <w:rPr>
          <w:rStyle w:val="FootnoteReference"/>
          <w:rFonts w:ascii="Times New Roman" w:hAnsi="Times New Roman" w:cs="Times New Roman"/>
          <w:sz w:val="24"/>
        </w:rPr>
        <w:footnoteReference w:id="1"/>
      </w:r>
      <w:r>
        <w:rPr>
          <w:rFonts w:ascii="Times New Roman" w:hAnsi="Times New Roman" w:cs="Times New Roman"/>
          <w:sz w:val="24"/>
        </w:rPr>
        <w:t xml:space="preserve"> </w:t>
      </w:r>
      <w:r w:rsidR="00176343">
        <w:rPr>
          <w:rFonts w:ascii="Times New Roman" w:hAnsi="Times New Roman" w:cs="Times New Roman"/>
          <w:sz w:val="24"/>
        </w:rPr>
        <w:t>T</w:t>
      </w:r>
      <w:r>
        <w:rPr>
          <w:rFonts w:ascii="Times New Roman" w:hAnsi="Times New Roman" w:cs="Times New Roman"/>
          <w:sz w:val="24"/>
        </w:rPr>
        <w:t>his dispute between Cleopatra and Charmi</w:t>
      </w:r>
      <w:r w:rsidR="008202FF">
        <w:rPr>
          <w:rFonts w:ascii="Times New Roman" w:hAnsi="Times New Roman" w:cs="Times New Roman"/>
          <w:sz w:val="24"/>
        </w:rPr>
        <w:t>a</w:t>
      </w:r>
      <w:r>
        <w:rPr>
          <w:rFonts w:ascii="Times New Roman" w:hAnsi="Times New Roman" w:cs="Times New Roman"/>
          <w:sz w:val="24"/>
        </w:rPr>
        <w:t>n</w:t>
      </w:r>
      <w:r w:rsidR="00DC4F4D">
        <w:rPr>
          <w:rFonts w:ascii="Times New Roman" w:hAnsi="Times New Roman" w:cs="Times New Roman"/>
          <w:sz w:val="24"/>
        </w:rPr>
        <w:t xml:space="preserve"> </w:t>
      </w:r>
      <w:r w:rsidR="007C4458">
        <w:rPr>
          <w:rFonts w:ascii="Times New Roman" w:hAnsi="Times New Roman" w:cs="Times New Roman"/>
          <w:sz w:val="24"/>
        </w:rPr>
        <w:t>evokes</w:t>
      </w:r>
      <w:r>
        <w:rPr>
          <w:rFonts w:ascii="Times New Roman" w:hAnsi="Times New Roman" w:cs="Times New Roman"/>
          <w:sz w:val="24"/>
        </w:rPr>
        <w:t xml:space="preserve"> a wider </w:t>
      </w:r>
      <w:r w:rsidR="00672825">
        <w:rPr>
          <w:rFonts w:ascii="Times New Roman" w:hAnsi="Times New Roman" w:cs="Times New Roman"/>
          <w:sz w:val="24"/>
        </w:rPr>
        <w:t>debate</w:t>
      </w:r>
      <w:r w:rsidR="00317A28">
        <w:rPr>
          <w:rFonts w:ascii="Times New Roman" w:hAnsi="Times New Roman" w:cs="Times New Roman"/>
          <w:sz w:val="24"/>
        </w:rPr>
        <w:t xml:space="preserve"> in Elizabethan political culture</w:t>
      </w:r>
      <w:r>
        <w:rPr>
          <w:rFonts w:ascii="Times New Roman" w:hAnsi="Times New Roman" w:cs="Times New Roman"/>
          <w:sz w:val="24"/>
        </w:rPr>
        <w:t xml:space="preserve"> </w:t>
      </w:r>
      <w:r w:rsidR="003D3AEE">
        <w:rPr>
          <w:rFonts w:ascii="Times New Roman" w:hAnsi="Times New Roman" w:cs="Times New Roman"/>
          <w:sz w:val="24"/>
        </w:rPr>
        <w:t>over differing expectations of female virtue</w:t>
      </w:r>
      <w:r w:rsidR="0040539D">
        <w:rPr>
          <w:rFonts w:ascii="Times New Roman" w:hAnsi="Times New Roman" w:cs="Times New Roman"/>
          <w:sz w:val="24"/>
        </w:rPr>
        <w:t xml:space="preserve"> driven by</w:t>
      </w:r>
      <w:r w:rsidR="0098083C">
        <w:rPr>
          <w:rFonts w:ascii="Times New Roman" w:hAnsi="Times New Roman" w:cs="Times New Roman"/>
          <w:sz w:val="24"/>
        </w:rPr>
        <w:t xml:space="preserve"> anxieties about female rule.</w:t>
      </w:r>
      <w:r w:rsidR="00320438">
        <w:rPr>
          <w:rFonts w:ascii="Times New Roman" w:hAnsi="Times New Roman" w:cs="Times New Roman"/>
          <w:sz w:val="24"/>
        </w:rPr>
        <w:t xml:space="preserve"> </w:t>
      </w:r>
      <w:r w:rsidR="004720B2">
        <w:rPr>
          <w:rFonts w:ascii="Times New Roman" w:hAnsi="Times New Roman" w:cs="Times New Roman"/>
          <w:sz w:val="24"/>
        </w:rPr>
        <w:t>An</w:t>
      </w:r>
      <w:r w:rsidR="008202FF">
        <w:rPr>
          <w:rFonts w:ascii="Times New Roman" w:hAnsi="Times New Roman" w:cs="Times New Roman"/>
          <w:sz w:val="24"/>
        </w:rPr>
        <w:t xml:space="preserve"> explicit focus on the separation of women’s private morality from the political public sphere is an element of political culture which</w:t>
      </w:r>
      <w:r w:rsidR="00765749">
        <w:rPr>
          <w:rFonts w:ascii="Times New Roman" w:hAnsi="Times New Roman" w:cs="Times New Roman"/>
          <w:sz w:val="24"/>
        </w:rPr>
        <w:t xml:space="preserve"> deserves more attention from</w:t>
      </w:r>
      <w:r w:rsidR="008202FF">
        <w:rPr>
          <w:rFonts w:ascii="Times New Roman" w:hAnsi="Times New Roman" w:cs="Times New Roman"/>
          <w:sz w:val="24"/>
        </w:rPr>
        <w:t xml:space="preserve"> historians and literary critics alike.</w:t>
      </w:r>
    </w:p>
    <w:p w14:paraId="4FD98011" w14:textId="3B4E4145" w:rsidR="004C7B97" w:rsidRDefault="00377EE0" w:rsidP="002D58FB">
      <w:pPr>
        <w:spacing w:line="240" w:lineRule="auto"/>
        <w:jc w:val="both"/>
        <w:rPr>
          <w:rFonts w:ascii="Times New Roman" w:hAnsi="Times New Roman" w:cs="Times New Roman"/>
          <w:sz w:val="24"/>
        </w:rPr>
      </w:pPr>
      <w:r>
        <w:rPr>
          <w:rFonts w:ascii="Times New Roman" w:hAnsi="Times New Roman" w:cs="Times New Roman"/>
          <w:sz w:val="24"/>
        </w:rPr>
        <w:t xml:space="preserve">It has been widely accepted that </w:t>
      </w:r>
      <w:r w:rsidR="004C7B97">
        <w:rPr>
          <w:rFonts w:ascii="Times New Roman" w:hAnsi="Times New Roman" w:cs="Times New Roman"/>
          <w:sz w:val="24"/>
        </w:rPr>
        <w:t xml:space="preserve">“the long 1590s” marked a period of decline and even crisis </w:t>
      </w:r>
      <w:r w:rsidR="00FC71E7">
        <w:rPr>
          <w:rFonts w:ascii="Times New Roman" w:hAnsi="Times New Roman" w:cs="Times New Roman"/>
          <w:sz w:val="24"/>
        </w:rPr>
        <w:t>in Elizabethan England</w:t>
      </w:r>
      <w:r w:rsidR="004C7B97">
        <w:rPr>
          <w:rFonts w:ascii="Times New Roman" w:hAnsi="Times New Roman" w:cs="Times New Roman"/>
          <w:sz w:val="24"/>
        </w:rPr>
        <w:t>.</w:t>
      </w:r>
      <w:r w:rsidR="004C7B97">
        <w:rPr>
          <w:rStyle w:val="FootnoteReference"/>
          <w:rFonts w:ascii="Times New Roman" w:hAnsi="Times New Roman" w:cs="Times New Roman"/>
          <w:sz w:val="24"/>
        </w:rPr>
        <w:footnoteReference w:id="2"/>
      </w:r>
      <w:r w:rsidR="00541D55">
        <w:rPr>
          <w:rFonts w:ascii="Times New Roman" w:hAnsi="Times New Roman" w:cs="Times New Roman"/>
          <w:sz w:val="24"/>
        </w:rPr>
        <w:t xml:space="preserve"> Politically, the “decade” was marked by factionalism</w:t>
      </w:r>
      <w:r w:rsidR="00987C24">
        <w:rPr>
          <w:rFonts w:ascii="Times New Roman" w:hAnsi="Times New Roman" w:cs="Times New Roman"/>
          <w:sz w:val="24"/>
        </w:rPr>
        <w:t xml:space="preserve"> caused by</w:t>
      </w:r>
      <w:r w:rsidR="00541D55">
        <w:rPr>
          <w:rFonts w:ascii="Times New Roman" w:hAnsi="Times New Roman" w:cs="Times New Roman"/>
          <w:sz w:val="24"/>
        </w:rPr>
        <w:t xml:space="preserve"> conflict </w:t>
      </w:r>
      <w:r w:rsidR="00A4728B">
        <w:rPr>
          <w:rFonts w:ascii="Times New Roman" w:hAnsi="Times New Roman" w:cs="Times New Roman"/>
          <w:sz w:val="24"/>
        </w:rPr>
        <w:t xml:space="preserve">mostly </w:t>
      </w:r>
      <w:r w:rsidR="00987C24">
        <w:rPr>
          <w:rFonts w:ascii="Times New Roman" w:hAnsi="Times New Roman" w:cs="Times New Roman"/>
          <w:sz w:val="24"/>
        </w:rPr>
        <w:t>revolving around</w:t>
      </w:r>
      <w:r w:rsidR="00541D55">
        <w:rPr>
          <w:rFonts w:ascii="Times New Roman" w:hAnsi="Times New Roman" w:cs="Times New Roman"/>
          <w:sz w:val="24"/>
        </w:rPr>
        <w:t xml:space="preserve"> Robert Cecil and Robert Devereux, the 2</w:t>
      </w:r>
      <w:r w:rsidR="00541D55" w:rsidRPr="00541D55">
        <w:rPr>
          <w:rFonts w:ascii="Times New Roman" w:hAnsi="Times New Roman" w:cs="Times New Roman"/>
          <w:sz w:val="24"/>
          <w:vertAlign w:val="superscript"/>
        </w:rPr>
        <w:t>nd</w:t>
      </w:r>
      <w:r w:rsidR="00541D55">
        <w:rPr>
          <w:rFonts w:ascii="Times New Roman" w:hAnsi="Times New Roman" w:cs="Times New Roman"/>
          <w:sz w:val="24"/>
        </w:rPr>
        <w:t xml:space="preserve"> Earl of Essex. Outside of court politics even greater crises loomed, with harvest failures from 1594-7,</w:t>
      </w:r>
      <w:r w:rsidR="0006129B">
        <w:rPr>
          <w:rFonts w:ascii="Times New Roman" w:hAnsi="Times New Roman" w:cs="Times New Roman"/>
          <w:sz w:val="24"/>
        </w:rPr>
        <w:t xml:space="preserve"> </w:t>
      </w:r>
      <w:r w:rsidR="00694240">
        <w:rPr>
          <w:rFonts w:ascii="Times New Roman" w:hAnsi="Times New Roman" w:cs="Times New Roman"/>
          <w:sz w:val="24"/>
        </w:rPr>
        <w:t>recurring</w:t>
      </w:r>
      <w:r w:rsidR="00541D55">
        <w:rPr>
          <w:rFonts w:ascii="Times New Roman" w:hAnsi="Times New Roman" w:cs="Times New Roman"/>
          <w:sz w:val="24"/>
        </w:rPr>
        <w:t xml:space="preserve"> anxiety about continental conflict, especially with Spain, and rebellion in Ireland.</w:t>
      </w:r>
      <w:r w:rsidR="00D51535">
        <w:rPr>
          <w:rFonts w:ascii="Times New Roman" w:hAnsi="Times New Roman" w:cs="Times New Roman"/>
          <w:sz w:val="24"/>
        </w:rPr>
        <w:t xml:space="preserve"> The </w:t>
      </w:r>
      <w:r w:rsidR="00C52DDB">
        <w:rPr>
          <w:rFonts w:ascii="Times New Roman" w:hAnsi="Times New Roman" w:cs="Times New Roman"/>
          <w:sz w:val="24"/>
        </w:rPr>
        <w:t>challenge to</w:t>
      </w:r>
      <w:r w:rsidR="00D51535">
        <w:rPr>
          <w:rFonts w:ascii="Times New Roman" w:hAnsi="Times New Roman" w:cs="Times New Roman"/>
          <w:sz w:val="24"/>
        </w:rPr>
        <w:t xml:space="preserve"> England’s political and socioeconomic stability during the late Elizabethan period was reflected in the political culture of the time. On the one hand, </w:t>
      </w:r>
      <w:r w:rsidR="00325A1A">
        <w:rPr>
          <w:rFonts w:ascii="Times New Roman" w:hAnsi="Times New Roman" w:cs="Times New Roman"/>
          <w:sz w:val="24"/>
        </w:rPr>
        <w:t xml:space="preserve">the Elizabethan regime </w:t>
      </w:r>
      <w:r w:rsidR="0006129B">
        <w:rPr>
          <w:rFonts w:ascii="Times New Roman" w:hAnsi="Times New Roman" w:cs="Times New Roman"/>
          <w:sz w:val="24"/>
        </w:rPr>
        <w:t>increasingly</w:t>
      </w:r>
      <w:r w:rsidR="00325A1A">
        <w:rPr>
          <w:rFonts w:ascii="Times New Roman" w:hAnsi="Times New Roman" w:cs="Times New Roman"/>
          <w:sz w:val="24"/>
        </w:rPr>
        <w:t xml:space="preserve"> promot</w:t>
      </w:r>
      <w:r w:rsidR="0006129B">
        <w:rPr>
          <w:rFonts w:ascii="Times New Roman" w:hAnsi="Times New Roman" w:cs="Times New Roman"/>
          <w:sz w:val="24"/>
        </w:rPr>
        <w:t>ed</w:t>
      </w:r>
      <w:r w:rsidR="00325A1A">
        <w:rPr>
          <w:rFonts w:ascii="Times New Roman" w:hAnsi="Times New Roman" w:cs="Times New Roman"/>
          <w:sz w:val="24"/>
        </w:rPr>
        <w:t xml:space="preserve"> an authoritarian vision of monarchy, </w:t>
      </w:r>
      <w:r w:rsidR="00F55166">
        <w:rPr>
          <w:rFonts w:ascii="Times New Roman" w:hAnsi="Times New Roman" w:cs="Times New Roman"/>
          <w:sz w:val="24"/>
        </w:rPr>
        <w:t>manifest</w:t>
      </w:r>
      <w:r w:rsidR="00CD5E99">
        <w:rPr>
          <w:rFonts w:ascii="Times New Roman" w:hAnsi="Times New Roman" w:cs="Times New Roman"/>
          <w:sz w:val="24"/>
        </w:rPr>
        <w:t>, for example,</w:t>
      </w:r>
      <w:r w:rsidR="00325A1A">
        <w:rPr>
          <w:rFonts w:ascii="Times New Roman" w:hAnsi="Times New Roman" w:cs="Times New Roman"/>
          <w:sz w:val="24"/>
        </w:rPr>
        <w:t xml:space="preserve"> in an increasing interest in the works of Tacitus as a historian concerned with imperial power.</w:t>
      </w:r>
      <w:r w:rsidR="00325A1A">
        <w:rPr>
          <w:rStyle w:val="FootnoteReference"/>
          <w:rFonts w:ascii="Times New Roman" w:hAnsi="Times New Roman" w:cs="Times New Roman"/>
          <w:sz w:val="24"/>
        </w:rPr>
        <w:footnoteReference w:id="3"/>
      </w:r>
      <w:r w:rsidR="00CC649F">
        <w:rPr>
          <w:rFonts w:ascii="Times New Roman" w:hAnsi="Times New Roman" w:cs="Times New Roman"/>
          <w:sz w:val="24"/>
        </w:rPr>
        <w:t xml:space="preserve"> </w:t>
      </w:r>
      <w:r w:rsidR="00325A1A">
        <w:rPr>
          <w:rFonts w:ascii="Times New Roman" w:hAnsi="Times New Roman" w:cs="Times New Roman"/>
          <w:sz w:val="24"/>
        </w:rPr>
        <w:t>However, th</w:t>
      </w:r>
      <w:r w:rsidR="002914C4">
        <w:rPr>
          <w:rFonts w:ascii="Times New Roman" w:hAnsi="Times New Roman" w:cs="Times New Roman"/>
          <w:sz w:val="24"/>
        </w:rPr>
        <w:t xml:space="preserve">is mainstream narrative of </w:t>
      </w:r>
      <w:r w:rsidR="00ED2E7E">
        <w:rPr>
          <w:rFonts w:ascii="Times New Roman" w:hAnsi="Times New Roman" w:cs="Times New Roman"/>
          <w:sz w:val="24"/>
        </w:rPr>
        <w:t>authoritarian rule</w:t>
      </w:r>
      <w:r w:rsidR="002914C4">
        <w:rPr>
          <w:rFonts w:ascii="Times New Roman" w:hAnsi="Times New Roman" w:cs="Times New Roman"/>
          <w:sz w:val="24"/>
        </w:rPr>
        <w:t xml:space="preserve"> was challenged </w:t>
      </w:r>
      <w:r w:rsidR="0006129B">
        <w:rPr>
          <w:rFonts w:ascii="Times New Roman" w:hAnsi="Times New Roman" w:cs="Times New Roman"/>
          <w:sz w:val="24"/>
        </w:rPr>
        <w:t>in</w:t>
      </w:r>
      <w:r w:rsidR="002914C4">
        <w:rPr>
          <w:rFonts w:ascii="Times New Roman" w:hAnsi="Times New Roman" w:cs="Times New Roman"/>
          <w:sz w:val="24"/>
        </w:rPr>
        <w:t xml:space="preserve"> wider political culture</w:t>
      </w:r>
      <w:r w:rsidR="008202FF">
        <w:rPr>
          <w:rFonts w:ascii="Times New Roman" w:hAnsi="Times New Roman" w:cs="Times New Roman"/>
          <w:sz w:val="24"/>
        </w:rPr>
        <w:t>, often</w:t>
      </w:r>
      <w:r w:rsidR="002914C4">
        <w:rPr>
          <w:rFonts w:ascii="Times New Roman" w:hAnsi="Times New Roman" w:cs="Times New Roman"/>
          <w:sz w:val="24"/>
        </w:rPr>
        <w:t xml:space="preserve"> centred around Essex, which emphasised classical and quasi</w:t>
      </w:r>
      <w:r w:rsidR="00DA3484">
        <w:rPr>
          <w:rFonts w:ascii="Times New Roman" w:hAnsi="Times New Roman" w:cs="Times New Roman"/>
          <w:sz w:val="24"/>
        </w:rPr>
        <w:t>-</w:t>
      </w:r>
      <w:r w:rsidR="002914C4">
        <w:rPr>
          <w:rFonts w:ascii="Times New Roman" w:hAnsi="Times New Roman" w:cs="Times New Roman"/>
          <w:sz w:val="24"/>
        </w:rPr>
        <w:t>republican themes. In th</w:t>
      </w:r>
      <w:r w:rsidR="00A90099">
        <w:rPr>
          <w:rFonts w:ascii="Times New Roman" w:hAnsi="Times New Roman" w:cs="Times New Roman"/>
          <w:sz w:val="24"/>
        </w:rPr>
        <w:t>ese</w:t>
      </w:r>
      <w:r w:rsidR="002914C4">
        <w:rPr>
          <w:rFonts w:ascii="Times New Roman" w:hAnsi="Times New Roman" w:cs="Times New Roman"/>
          <w:sz w:val="24"/>
        </w:rPr>
        <w:t xml:space="preserve"> more </w:t>
      </w:r>
      <w:r w:rsidR="00CA0533">
        <w:rPr>
          <w:rFonts w:ascii="Times New Roman" w:hAnsi="Times New Roman" w:cs="Times New Roman"/>
          <w:sz w:val="24"/>
        </w:rPr>
        <w:t>critical</w:t>
      </w:r>
      <w:r w:rsidR="002914C4">
        <w:rPr>
          <w:rFonts w:ascii="Times New Roman" w:hAnsi="Times New Roman" w:cs="Times New Roman"/>
          <w:sz w:val="24"/>
        </w:rPr>
        <w:t xml:space="preserve"> </w:t>
      </w:r>
      <w:r w:rsidR="00A90099">
        <w:rPr>
          <w:rFonts w:ascii="Times New Roman" w:hAnsi="Times New Roman" w:cs="Times New Roman"/>
          <w:sz w:val="24"/>
        </w:rPr>
        <w:t>circles</w:t>
      </w:r>
      <w:r w:rsidR="002914C4">
        <w:rPr>
          <w:rFonts w:ascii="Times New Roman" w:hAnsi="Times New Roman" w:cs="Times New Roman"/>
          <w:sz w:val="24"/>
        </w:rPr>
        <w:t>, Tacitus</w:t>
      </w:r>
      <w:r w:rsidR="008202FF">
        <w:rPr>
          <w:rFonts w:ascii="Times New Roman" w:hAnsi="Times New Roman" w:cs="Times New Roman"/>
          <w:sz w:val="24"/>
        </w:rPr>
        <w:t xml:space="preserve"> </w:t>
      </w:r>
      <w:r w:rsidR="00CA0533">
        <w:rPr>
          <w:rFonts w:ascii="Times New Roman" w:hAnsi="Times New Roman" w:cs="Times New Roman"/>
          <w:sz w:val="24"/>
        </w:rPr>
        <w:t>could be</w:t>
      </w:r>
      <w:r w:rsidR="002914C4">
        <w:rPr>
          <w:rFonts w:ascii="Times New Roman" w:hAnsi="Times New Roman" w:cs="Times New Roman"/>
          <w:sz w:val="24"/>
        </w:rPr>
        <w:t xml:space="preserve"> used to suggest</w:t>
      </w:r>
      <w:r w:rsidR="004442FA">
        <w:rPr>
          <w:rFonts w:ascii="Times New Roman" w:hAnsi="Times New Roman" w:cs="Times New Roman"/>
          <w:sz w:val="24"/>
        </w:rPr>
        <w:t xml:space="preserve"> tyrannical rulers’</w:t>
      </w:r>
      <w:r w:rsidR="002914C4">
        <w:rPr>
          <w:rFonts w:ascii="Times New Roman" w:hAnsi="Times New Roman" w:cs="Times New Roman"/>
          <w:sz w:val="24"/>
        </w:rPr>
        <w:t xml:space="preserve"> contempt for </w:t>
      </w:r>
      <w:r w:rsidR="004442FA">
        <w:rPr>
          <w:rFonts w:ascii="Times New Roman" w:hAnsi="Times New Roman" w:cs="Times New Roman"/>
          <w:sz w:val="24"/>
        </w:rPr>
        <w:t xml:space="preserve">their </w:t>
      </w:r>
      <w:r w:rsidR="002914C4">
        <w:rPr>
          <w:rFonts w:ascii="Times New Roman" w:hAnsi="Times New Roman" w:cs="Times New Roman"/>
          <w:sz w:val="24"/>
        </w:rPr>
        <w:t>virtuous subjects</w:t>
      </w:r>
      <w:r w:rsidR="008202FF">
        <w:rPr>
          <w:rFonts w:ascii="Times New Roman" w:hAnsi="Times New Roman" w:cs="Times New Roman"/>
          <w:sz w:val="24"/>
        </w:rPr>
        <w:t xml:space="preserve"> and other classical authors were</w:t>
      </w:r>
      <w:r w:rsidR="002560B2">
        <w:rPr>
          <w:rFonts w:ascii="Times New Roman" w:hAnsi="Times New Roman" w:cs="Times New Roman"/>
          <w:sz w:val="24"/>
        </w:rPr>
        <w:t xml:space="preserve"> invoked to provide</w:t>
      </w:r>
      <w:r w:rsidR="008202FF">
        <w:rPr>
          <w:rFonts w:ascii="Times New Roman" w:hAnsi="Times New Roman" w:cs="Times New Roman"/>
          <w:sz w:val="24"/>
        </w:rPr>
        <w:t xml:space="preserve"> a language of tacit resistance to a</w:t>
      </w:r>
      <w:r w:rsidR="0040120C">
        <w:rPr>
          <w:rFonts w:ascii="Times New Roman" w:hAnsi="Times New Roman" w:cs="Times New Roman"/>
          <w:sz w:val="24"/>
        </w:rPr>
        <w:t>uthoritarian</w:t>
      </w:r>
      <w:r w:rsidR="008202FF">
        <w:rPr>
          <w:rFonts w:ascii="Times New Roman" w:hAnsi="Times New Roman" w:cs="Times New Roman"/>
          <w:sz w:val="24"/>
        </w:rPr>
        <w:t xml:space="preserve"> rule</w:t>
      </w:r>
      <w:r w:rsidR="002914C4">
        <w:rPr>
          <w:rFonts w:ascii="Times New Roman" w:hAnsi="Times New Roman" w:cs="Times New Roman"/>
          <w:sz w:val="24"/>
        </w:rPr>
        <w:t>.</w:t>
      </w:r>
      <w:r w:rsidR="002914C4">
        <w:rPr>
          <w:rStyle w:val="FootnoteReference"/>
          <w:rFonts w:ascii="Times New Roman" w:hAnsi="Times New Roman" w:cs="Times New Roman"/>
          <w:sz w:val="24"/>
        </w:rPr>
        <w:footnoteReference w:id="4"/>
      </w:r>
      <w:r w:rsidR="002914C4">
        <w:rPr>
          <w:rFonts w:ascii="Times New Roman" w:hAnsi="Times New Roman" w:cs="Times New Roman"/>
          <w:sz w:val="24"/>
        </w:rPr>
        <w:t xml:space="preserve"> Political culture in the 1590s was, therefore, a battleground in which the regime’s assertions of authority were questioned and challenged</w:t>
      </w:r>
      <w:r w:rsidR="0081075A">
        <w:rPr>
          <w:rFonts w:ascii="Times New Roman" w:hAnsi="Times New Roman" w:cs="Times New Roman"/>
          <w:sz w:val="24"/>
        </w:rPr>
        <w:t>, with the classical world being used to explore these themes by both sides</w:t>
      </w:r>
      <w:r w:rsidR="002914C4">
        <w:rPr>
          <w:rFonts w:ascii="Times New Roman" w:hAnsi="Times New Roman" w:cs="Times New Roman"/>
          <w:sz w:val="24"/>
        </w:rPr>
        <w:t>.</w:t>
      </w:r>
    </w:p>
    <w:p w14:paraId="6B15BFF5" w14:textId="2A7A4DA1" w:rsidR="002914C4" w:rsidRDefault="002914C4" w:rsidP="002D58FB">
      <w:pPr>
        <w:spacing w:line="240" w:lineRule="auto"/>
        <w:jc w:val="both"/>
        <w:rPr>
          <w:rFonts w:ascii="Times New Roman" w:hAnsi="Times New Roman" w:cs="Times New Roman"/>
          <w:sz w:val="24"/>
        </w:rPr>
      </w:pPr>
      <w:r>
        <w:rPr>
          <w:rFonts w:ascii="Times New Roman" w:hAnsi="Times New Roman" w:cs="Times New Roman"/>
          <w:sz w:val="24"/>
        </w:rPr>
        <w:t>One significant battle in this wider conflict was over the nature of female rule</w:t>
      </w:r>
      <w:r w:rsidR="00714E6B">
        <w:rPr>
          <w:rFonts w:ascii="Times New Roman" w:hAnsi="Times New Roman" w:cs="Times New Roman"/>
          <w:sz w:val="24"/>
        </w:rPr>
        <w:t>: its legitimacy, authority and the question of the relationship between the queen and her chief counsellors. Elizabeth</w:t>
      </w:r>
      <w:r w:rsidR="001C685C">
        <w:rPr>
          <w:rFonts w:ascii="Times New Roman" w:hAnsi="Times New Roman" w:cs="Times New Roman"/>
          <w:sz w:val="24"/>
        </w:rPr>
        <w:t xml:space="preserve"> </w:t>
      </w:r>
      <w:r w:rsidR="004C330D">
        <w:rPr>
          <w:rFonts w:ascii="Times New Roman" w:hAnsi="Times New Roman" w:cs="Times New Roman"/>
          <w:sz w:val="24"/>
        </w:rPr>
        <w:t>promoted</w:t>
      </w:r>
      <w:r w:rsidR="008202FF">
        <w:rPr>
          <w:rFonts w:ascii="Times New Roman" w:hAnsi="Times New Roman" w:cs="Times New Roman"/>
          <w:sz w:val="24"/>
        </w:rPr>
        <w:t xml:space="preserve"> </w:t>
      </w:r>
      <w:r w:rsidR="001C685C">
        <w:rPr>
          <w:rFonts w:ascii="Times New Roman" w:hAnsi="Times New Roman" w:cs="Times New Roman"/>
          <w:sz w:val="24"/>
        </w:rPr>
        <w:t xml:space="preserve">writers and </w:t>
      </w:r>
      <w:r w:rsidR="008202FF">
        <w:rPr>
          <w:rFonts w:ascii="Times New Roman" w:hAnsi="Times New Roman" w:cs="Times New Roman"/>
          <w:sz w:val="24"/>
        </w:rPr>
        <w:t>literary</w:t>
      </w:r>
      <w:r w:rsidR="00714E6B">
        <w:rPr>
          <w:rFonts w:ascii="Times New Roman" w:hAnsi="Times New Roman" w:cs="Times New Roman"/>
          <w:sz w:val="24"/>
        </w:rPr>
        <w:t xml:space="preserve"> works throughout her reign which to some degree legitimised her rule</w:t>
      </w:r>
      <w:r w:rsidR="00DB7108">
        <w:rPr>
          <w:rFonts w:ascii="Times New Roman" w:hAnsi="Times New Roman" w:cs="Times New Roman"/>
          <w:sz w:val="24"/>
        </w:rPr>
        <w:t>, for example the life pension awarded to Edmund Spenser for the</w:t>
      </w:r>
      <w:r w:rsidR="00714E6B">
        <w:rPr>
          <w:rFonts w:ascii="Times New Roman" w:hAnsi="Times New Roman" w:cs="Times New Roman"/>
          <w:sz w:val="24"/>
        </w:rPr>
        <w:t xml:space="preserve"> </w:t>
      </w:r>
      <w:proofErr w:type="spellStart"/>
      <w:r w:rsidR="00714E6B">
        <w:rPr>
          <w:rFonts w:ascii="Times New Roman" w:hAnsi="Times New Roman" w:cs="Times New Roman"/>
          <w:i/>
          <w:sz w:val="24"/>
        </w:rPr>
        <w:t>The</w:t>
      </w:r>
      <w:proofErr w:type="spellEnd"/>
      <w:r w:rsidR="00714E6B">
        <w:rPr>
          <w:rFonts w:ascii="Times New Roman" w:hAnsi="Times New Roman" w:cs="Times New Roman"/>
          <w:i/>
          <w:sz w:val="24"/>
        </w:rPr>
        <w:t xml:space="preserve"> </w:t>
      </w:r>
      <w:r w:rsidR="00714E6B">
        <w:rPr>
          <w:rFonts w:ascii="Times New Roman" w:hAnsi="Times New Roman" w:cs="Times New Roman"/>
          <w:i/>
          <w:sz w:val="24"/>
        </w:rPr>
        <w:lastRenderedPageBreak/>
        <w:t xml:space="preserve">Faerie </w:t>
      </w:r>
      <w:proofErr w:type="spellStart"/>
      <w:r w:rsidR="00714E6B">
        <w:rPr>
          <w:rFonts w:ascii="Times New Roman" w:hAnsi="Times New Roman" w:cs="Times New Roman"/>
          <w:i/>
          <w:sz w:val="24"/>
        </w:rPr>
        <w:t>Queene</w:t>
      </w:r>
      <w:proofErr w:type="spellEnd"/>
      <w:r w:rsidR="00714E6B">
        <w:rPr>
          <w:rFonts w:ascii="Times New Roman" w:hAnsi="Times New Roman" w:cs="Times New Roman"/>
          <w:sz w:val="24"/>
        </w:rPr>
        <w:t>.</w:t>
      </w:r>
      <w:r w:rsidR="00714E6B">
        <w:rPr>
          <w:rStyle w:val="FootnoteReference"/>
          <w:rFonts w:ascii="Times New Roman" w:hAnsi="Times New Roman" w:cs="Times New Roman"/>
          <w:sz w:val="24"/>
        </w:rPr>
        <w:footnoteReference w:id="5"/>
      </w:r>
      <w:r w:rsidR="00714E6B">
        <w:rPr>
          <w:rFonts w:ascii="Times New Roman" w:hAnsi="Times New Roman" w:cs="Times New Roman"/>
          <w:sz w:val="24"/>
        </w:rPr>
        <w:t xml:space="preserve"> </w:t>
      </w:r>
      <w:r w:rsidR="00AE6E05">
        <w:rPr>
          <w:rFonts w:ascii="Times New Roman" w:hAnsi="Times New Roman" w:cs="Times New Roman"/>
          <w:sz w:val="24"/>
        </w:rPr>
        <w:t xml:space="preserve">Despite this, </w:t>
      </w:r>
      <w:r w:rsidR="00C715CD">
        <w:rPr>
          <w:rFonts w:ascii="Times New Roman" w:hAnsi="Times New Roman" w:cs="Times New Roman"/>
          <w:sz w:val="24"/>
        </w:rPr>
        <w:t>Elizabeth’s</w:t>
      </w:r>
      <w:r w:rsidR="00AE6E05">
        <w:rPr>
          <w:rFonts w:ascii="Times New Roman" w:hAnsi="Times New Roman" w:cs="Times New Roman"/>
          <w:sz w:val="24"/>
        </w:rPr>
        <w:t xml:space="preserve"> </w:t>
      </w:r>
      <w:r w:rsidR="007A2463">
        <w:rPr>
          <w:rFonts w:ascii="Times New Roman" w:hAnsi="Times New Roman" w:cs="Times New Roman"/>
          <w:sz w:val="24"/>
        </w:rPr>
        <w:t>gender</w:t>
      </w:r>
      <w:r w:rsidR="00AE6E05">
        <w:rPr>
          <w:rFonts w:ascii="Times New Roman" w:hAnsi="Times New Roman" w:cs="Times New Roman"/>
          <w:sz w:val="24"/>
        </w:rPr>
        <w:t xml:space="preserve"> laid</w:t>
      </w:r>
      <w:r w:rsidR="00AE6E05" w:rsidRPr="005A785E">
        <w:rPr>
          <w:rFonts w:ascii="Garamond" w:hAnsi="Garamond"/>
          <w:sz w:val="24"/>
        </w:rPr>
        <w:t xml:space="preserve"> </w:t>
      </w:r>
      <w:r w:rsidR="00AE6E05" w:rsidRPr="00AE6E05">
        <w:rPr>
          <w:rFonts w:ascii="Times New Roman" w:hAnsi="Times New Roman" w:cs="Times New Roman"/>
          <w:sz w:val="24"/>
        </w:rPr>
        <w:t>her open to more criticism than a male monarch would have faced</w:t>
      </w:r>
      <w:r w:rsidR="005854A7">
        <w:rPr>
          <w:rFonts w:ascii="Times New Roman" w:hAnsi="Times New Roman" w:cs="Times New Roman"/>
          <w:sz w:val="24"/>
        </w:rPr>
        <w:t>,</w:t>
      </w:r>
      <w:r w:rsidR="00594590">
        <w:rPr>
          <w:rFonts w:ascii="Times New Roman" w:hAnsi="Times New Roman" w:cs="Times New Roman"/>
          <w:sz w:val="24"/>
        </w:rPr>
        <w:t xml:space="preserve"> even from works promoted by </w:t>
      </w:r>
      <w:r w:rsidR="00C9201C">
        <w:rPr>
          <w:rFonts w:ascii="Times New Roman" w:hAnsi="Times New Roman" w:cs="Times New Roman"/>
          <w:sz w:val="24"/>
        </w:rPr>
        <w:t>her regime</w:t>
      </w:r>
      <w:r w:rsidR="008D0971">
        <w:rPr>
          <w:rFonts w:ascii="Times New Roman" w:hAnsi="Times New Roman" w:cs="Times New Roman"/>
          <w:sz w:val="24"/>
        </w:rPr>
        <w:t>, with</w:t>
      </w:r>
      <w:r w:rsidR="0063414F">
        <w:rPr>
          <w:rFonts w:ascii="Times New Roman" w:hAnsi="Times New Roman" w:cs="Times New Roman"/>
          <w:sz w:val="24"/>
        </w:rPr>
        <w:t xml:space="preserve"> the importance of male counsel </w:t>
      </w:r>
      <w:r w:rsidR="008D0971">
        <w:rPr>
          <w:rFonts w:ascii="Times New Roman" w:hAnsi="Times New Roman" w:cs="Times New Roman"/>
          <w:sz w:val="24"/>
        </w:rPr>
        <w:t>being</w:t>
      </w:r>
      <w:r w:rsidR="0063414F">
        <w:rPr>
          <w:rFonts w:ascii="Times New Roman" w:hAnsi="Times New Roman" w:cs="Times New Roman"/>
          <w:sz w:val="24"/>
        </w:rPr>
        <w:t xml:space="preserve"> repeatedly reiterate</w:t>
      </w:r>
      <w:r w:rsidR="00EF481C">
        <w:rPr>
          <w:rFonts w:ascii="Times New Roman" w:hAnsi="Times New Roman" w:cs="Times New Roman"/>
          <w:sz w:val="24"/>
        </w:rPr>
        <w:t>d</w:t>
      </w:r>
      <w:r w:rsidR="00AE6E05">
        <w:rPr>
          <w:rFonts w:ascii="Times New Roman" w:hAnsi="Times New Roman" w:cs="Times New Roman"/>
          <w:sz w:val="24"/>
        </w:rPr>
        <w:t>.</w:t>
      </w:r>
      <w:r w:rsidR="00AE6E05">
        <w:rPr>
          <w:rStyle w:val="FootnoteReference"/>
          <w:rFonts w:ascii="Times New Roman" w:hAnsi="Times New Roman" w:cs="Times New Roman"/>
          <w:sz w:val="24"/>
        </w:rPr>
        <w:footnoteReference w:id="6"/>
      </w:r>
      <w:r w:rsidR="00AE6E05">
        <w:rPr>
          <w:rFonts w:ascii="Times New Roman" w:hAnsi="Times New Roman" w:cs="Times New Roman"/>
          <w:sz w:val="24"/>
        </w:rPr>
        <w:t xml:space="preserve"> </w:t>
      </w:r>
      <w:r w:rsidR="001E65EF">
        <w:rPr>
          <w:rFonts w:ascii="Times New Roman" w:hAnsi="Times New Roman" w:cs="Times New Roman"/>
          <w:sz w:val="24"/>
        </w:rPr>
        <w:t>Such theorising about female rule and gender roles in the p</w:t>
      </w:r>
      <w:r w:rsidR="004B5669">
        <w:rPr>
          <w:rFonts w:ascii="Times New Roman" w:hAnsi="Times New Roman" w:cs="Times New Roman"/>
          <w:sz w:val="24"/>
        </w:rPr>
        <w:t>olitical</w:t>
      </w:r>
      <w:r w:rsidR="001E65EF">
        <w:rPr>
          <w:rFonts w:ascii="Times New Roman" w:hAnsi="Times New Roman" w:cs="Times New Roman"/>
          <w:sz w:val="24"/>
        </w:rPr>
        <w:t xml:space="preserve"> sphere fitted into a discussion in wider society about the role and conduct of women, expressed in a variety of medi</w:t>
      </w:r>
      <w:r w:rsidR="0063414F">
        <w:rPr>
          <w:rFonts w:ascii="Times New Roman" w:hAnsi="Times New Roman" w:cs="Times New Roman"/>
          <w:sz w:val="24"/>
        </w:rPr>
        <w:t>a</w:t>
      </w:r>
      <w:r w:rsidR="001E65EF">
        <w:rPr>
          <w:rFonts w:ascii="Times New Roman" w:hAnsi="Times New Roman" w:cs="Times New Roman"/>
          <w:sz w:val="24"/>
        </w:rPr>
        <w:t xml:space="preserve">. These discussions </w:t>
      </w:r>
      <w:r w:rsidR="001D4F46">
        <w:rPr>
          <w:rFonts w:ascii="Times New Roman" w:hAnsi="Times New Roman" w:cs="Times New Roman"/>
          <w:sz w:val="24"/>
        </w:rPr>
        <w:t>presented</w:t>
      </w:r>
      <w:r w:rsidR="001E65EF">
        <w:rPr>
          <w:rFonts w:ascii="Times New Roman" w:hAnsi="Times New Roman" w:cs="Times New Roman"/>
          <w:sz w:val="24"/>
        </w:rPr>
        <w:t xml:space="preserve"> female morality in terms of virtues, </w:t>
      </w:r>
      <w:r w:rsidR="0006129B">
        <w:rPr>
          <w:rFonts w:ascii="Times New Roman" w:hAnsi="Times New Roman" w:cs="Times New Roman"/>
          <w:sz w:val="24"/>
        </w:rPr>
        <w:t>especially</w:t>
      </w:r>
      <w:r w:rsidR="001E65EF">
        <w:rPr>
          <w:rFonts w:ascii="Times New Roman" w:hAnsi="Times New Roman" w:cs="Times New Roman"/>
          <w:sz w:val="24"/>
        </w:rPr>
        <w:t xml:space="preserve"> chastity and constancy</w:t>
      </w:r>
      <w:r w:rsidR="0054743C">
        <w:rPr>
          <w:rFonts w:ascii="Times New Roman" w:hAnsi="Times New Roman" w:cs="Times New Roman"/>
          <w:sz w:val="24"/>
        </w:rPr>
        <w:t xml:space="preserve">. </w:t>
      </w:r>
      <w:r w:rsidR="001E65EF">
        <w:rPr>
          <w:rFonts w:ascii="Times New Roman" w:hAnsi="Times New Roman" w:cs="Times New Roman"/>
          <w:sz w:val="24"/>
        </w:rPr>
        <w:t>Whilst it is important to not assume that these theoretical abstractions about women reflected the reality of women’s everyday lives, they did have a significant influence on how women were conceived</w:t>
      </w:r>
      <w:r w:rsidR="00301EF4">
        <w:rPr>
          <w:rFonts w:ascii="Times New Roman" w:hAnsi="Times New Roman" w:cs="Times New Roman"/>
          <w:sz w:val="24"/>
        </w:rPr>
        <w:t xml:space="preserve"> of</w:t>
      </w:r>
      <w:r w:rsidR="001E65EF">
        <w:rPr>
          <w:rFonts w:ascii="Times New Roman" w:hAnsi="Times New Roman" w:cs="Times New Roman"/>
          <w:sz w:val="24"/>
        </w:rPr>
        <w:t xml:space="preserve"> in wider intellectual</w:t>
      </w:r>
      <w:r w:rsidR="000F5FE5">
        <w:rPr>
          <w:rFonts w:ascii="Times New Roman" w:hAnsi="Times New Roman" w:cs="Times New Roman"/>
          <w:sz w:val="24"/>
        </w:rPr>
        <w:t xml:space="preserve"> and political </w:t>
      </w:r>
      <w:r w:rsidR="001E65EF">
        <w:rPr>
          <w:rFonts w:ascii="Times New Roman" w:hAnsi="Times New Roman" w:cs="Times New Roman"/>
          <w:sz w:val="24"/>
        </w:rPr>
        <w:t>culture.</w:t>
      </w:r>
      <w:r w:rsidR="001E65EF">
        <w:rPr>
          <w:rStyle w:val="FootnoteReference"/>
          <w:rFonts w:ascii="Times New Roman" w:hAnsi="Times New Roman" w:cs="Times New Roman"/>
          <w:sz w:val="24"/>
        </w:rPr>
        <w:footnoteReference w:id="7"/>
      </w:r>
    </w:p>
    <w:p w14:paraId="20A74F36" w14:textId="4613A239" w:rsidR="00A34AF2" w:rsidRDefault="00085FB4" w:rsidP="002D58FB">
      <w:pPr>
        <w:spacing w:line="240" w:lineRule="auto"/>
        <w:jc w:val="both"/>
        <w:rPr>
          <w:rFonts w:ascii="Times New Roman" w:hAnsi="Times New Roman" w:cs="Times New Roman"/>
          <w:sz w:val="24"/>
        </w:rPr>
      </w:pPr>
      <w:r>
        <w:rPr>
          <w:rFonts w:ascii="Times New Roman" w:hAnsi="Times New Roman" w:cs="Times New Roman"/>
          <w:sz w:val="24"/>
        </w:rPr>
        <w:t>T</w:t>
      </w:r>
      <w:r w:rsidR="00AE2AE8">
        <w:rPr>
          <w:rFonts w:ascii="Times New Roman" w:hAnsi="Times New Roman" w:cs="Times New Roman"/>
          <w:sz w:val="24"/>
        </w:rPr>
        <w:t>his</w:t>
      </w:r>
      <w:r w:rsidR="001E568C">
        <w:rPr>
          <w:rFonts w:ascii="Times New Roman" w:hAnsi="Times New Roman" w:cs="Times New Roman"/>
          <w:sz w:val="24"/>
        </w:rPr>
        <w:t xml:space="preserve"> intellectual and political culture was </w:t>
      </w:r>
      <w:r w:rsidR="003A1B7B">
        <w:rPr>
          <w:rFonts w:ascii="Times New Roman" w:hAnsi="Times New Roman" w:cs="Times New Roman"/>
          <w:sz w:val="24"/>
        </w:rPr>
        <w:t>pervaded by</w:t>
      </w:r>
      <w:r w:rsidR="00C65C00">
        <w:rPr>
          <w:rFonts w:ascii="Times New Roman" w:hAnsi="Times New Roman" w:cs="Times New Roman"/>
          <w:sz w:val="24"/>
        </w:rPr>
        <w:t xml:space="preserve"> discussion of</w:t>
      </w:r>
      <w:r w:rsidR="00A34AF2">
        <w:rPr>
          <w:rFonts w:ascii="Times New Roman" w:hAnsi="Times New Roman" w:cs="Times New Roman"/>
          <w:sz w:val="24"/>
        </w:rPr>
        <w:t xml:space="preserve"> the classical world</w:t>
      </w:r>
      <w:r w:rsidR="0093695B">
        <w:rPr>
          <w:rFonts w:ascii="Times New Roman" w:hAnsi="Times New Roman" w:cs="Times New Roman"/>
          <w:sz w:val="24"/>
        </w:rPr>
        <w:t>, especially Rome</w:t>
      </w:r>
      <w:r>
        <w:rPr>
          <w:rFonts w:ascii="Times New Roman" w:hAnsi="Times New Roman" w:cs="Times New Roman"/>
          <w:sz w:val="24"/>
        </w:rPr>
        <w:t>,</w:t>
      </w:r>
      <w:r w:rsidR="0093695B">
        <w:rPr>
          <w:rFonts w:ascii="Times New Roman" w:hAnsi="Times New Roman" w:cs="Times New Roman"/>
          <w:sz w:val="24"/>
        </w:rPr>
        <w:t xml:space="preserve"> fostered amongst the educated classes</w:t>
      </w:r>
      <w:r w:rsidR="00064A2C">
        <w:rPr>
          <w:rFonts w:ascii="Times New Roman" w:hAnsi="Times New Roman" w:cs="Times New Roman"/>
          <w:sz w:val="24"/>
        </w:rPr>
        <w:t xml:space="preserve"> by</w:t>
      </w:r>
      <w:r w:rsidR="00A34AF2">
        <w:rPr>
          <w:rFonts w:ascii="Times New Roman" w:hAnsi="Times New Roman" w:cs="Times New Roman"/>
          <w:sz w:val="24"/>
        </w:rPr>
        <w:t xml:space="preserve"> grammar schools and the universities</w:t>
      </w:r>
      <w:r w:rsidR="002D346B">
        <w:rPr>
          <w:rFonts w:ascii="Times New Roman" w:hAnsi="Times New Roman" w:cs="Times New Roman"/>
          <w:sz w:val="24"/>
        </w:rPr>
        <w:t xml:space="preserve"> </w:t>
      </w:r>
      <w:r w:rsidR="00595C22">
        <w:rPr>
          <w:rFonts w:ascii="Times New Roman" w:hAnsi="Times New Roman" w:cs="Times New Roman"/>
          <w:sz w:val="24"/>
        </w:rPr>
        <w:t>whose curricula were</w:t>
      </w:r>
      <w:r w:rsidR="00A34AF2">
        <w:rPr>
          <w:rFonts w:ascii="Times New Roman" w:hAnsi="Times New Roman" w:cs="Times New Roman"/>
          <w:sz w:val="24"/>
        </w:rPr>
        <w:t xml:space="preserve"> centred around the Latin language and Roman texts.</w:t>
      </w:r>
      <w:r w:rsidR="00A34AF2">
        <w:rPr>
          <w:rStyle w:val="FootnoteReference"/>
          <w:rFonts w:ascii="Times New Roman" w:hAnsi="Times New Roman" w:cs="Times New Roman"/>
          <w:sz w:val="24"/>
        </w:rPr>
        <w:footnoteReference w:id="8"/>
      </w:r>
      <w:r w:rsidR="00A34AF2">
        <w:rPr>
          <w:rFonts w:ascii="Times New Roman" w:hAnsi="Times New Roman" w:cs="Times New Roman"/>
          <w:sz w:val="24"/>
        </w:rPr>
        <w:t xml:space="preserve"> Beyond the Latin-literate elite, the sixteenth-century saw the first translations of classical texts into English, </w:t>
      </w:r>
      <w:r w:rsidR="000E3559">
        <w:rPr>
          <w:rFonts w:ascii="Times New Roman" w:hAnsi="Times New Roman" w:cs="Times New Roman"/>
          <w:sz w:val="24"/>
        </w:rPr>
        <w:t xml:space="preserve">such as </w:t>
      </w:r>
      <w:r w:rsidR="00A34E2E">
        <w:rPr>
          <w:rFonts w:ascii="Times New Roman" w:hAnsi="Times New Roman" w:cs="Times New Roman"/>
          <w:sz w:val="24"/>
        </w:rPr>
        <w:t xml:space="preserve">Thomas </w:t>
      </w:r>
      <w:r w:rsidR="000E3559">
        <w:rPr>
          <w:rFonts w:ascii="Times New Roman" w:hAnsi="Times New Roman" w:cs="Times New Roman"/>
          <w:sz w:val="24"/>
        </w:rPr>
        <w:t>North’s</w:t>
      </w:r>
      <w:r w:rsidR="000A44B5">
        <w:rPr>
          <w:rFonts w:ascii="Times New Roman" w:hAnsi="Times New Roman" w:cs="Times New Roman"/>
          <w:sz w:val="24"/>
        </w:rPr>
        <w:t xml:space="preserve"> translation of</w:t>
      </w:r>
      <w:r w:rsidR="000E3559">
        <w:rPr>
          <w:rFonts w:ascii="Times New Roman" w:hAnsi="Times New Roman" w:cs="Times New Roman"/>
          <w:sz w:val="24"/>
        </w:rPr>
        <w:t xml:space="preserve"> Plutarch</w:t>
      </w:r>
      <w:r w:rsidR="000A44B5">
        <w:rPr>
          <w:rFonts w:ascii="Times New Roman" w:hAnsi="Times New Roman" w:cs="Times New Roman"/>
          <w:sz w:val="24"/>
        </w:rPr>
        <w:t xml:space="preserve">’s </w:t>
      </w:r>
      <w:r w:rsidR="000A44B5">
        <w:rPr>
          <w:rFonts w:ascii="Times New Roman" w:hAnsi="Times New Roman" w:cs="Times New Roman"/>
          <w:i/>
          <w:sz w:val="24"/>
        </w:rPr>
        <w:t>Parallel Lives</w:t>
      </w:r>
      <w:r w:rsidR="000E3559">
        <w:rPr>
          <w:rFonts w:ascii="Times New Roman" w:hAnsi="Times New Roman" w:cs="Times New Roman"/>
          <w:sz w:val="24"/>
        </w:rPr>
        <w:t xml:space="preserve"> (1579</w:t>
      </w:r>
      <w:r w:rsidR="000A44B5">
        <w:rPr>
          <w:rFonts w:ascii="Times New Roman" w:hAnsi="Times New Roman" w:cs="Times New Roman"/>
          <w:sz w:val="24"/>
        </w:rPr>
        <w:t>) and</w:t>
      </w:r>
      <w:r w:rsidR="00A34E2E">
        <w:rPr>
          <w:rFonts w:ascii="Times New Roman" w:hAnsi="Times New Roman" w:cs="Times New Roman"/>
          <w:sz w:val="24"/>
        </w:rPr>
        <w:t xml:space="preserve"> Henry </w:t>
      </w:r>
      <w:r w:rsidR="000E3559">
        <w:rPr>
          <w:rFonts w:ascii="Times New Roman" w:hAnsi="Times New Roman" w:cs="Times New Roman"/>
          <w:sz w:val="24"/>
        </w:rPr>
        <w:t xml:space="preserve">Savile’s translation of Tacitus’ </w:t>
      </w:r>
      <w:r w:rsidR="000E3559" w:rsidRPr="008945A7">
        <w:rPr>
          <w:rFonts w:ascii="Times New Roman" w:hAnsi="Times New Roman" w:cs="Times New Roman"/>
          <w:i/>
          <w:sz w:val="24"/>
        </w:rPr>
        <w:t>Histories</w:t>
      </w:r>
      <w:r w:rsidR="000E3559">
        <w:rPr>
          <w:rFonts w:ascii="Times New Roman" w:hAnsi="Times New Roman" w:cs="Times New Roman"/>
          <w:sz w:val="24"/>
        </w:rPr>
        <w:t xml:space="preserve"> (1591)</w:t>
      </w:r>
      <w:r w:rsidR="00336380">
        <w:rPr>
          <w:rFonts w:ascii="Times New Roman" w:hAnsi="Times New Roman" w:cs="Times New Roman"/>
          <w:sz w:val="24"/>
        </w:rPr>
        <w:t xml:space="preserve">. </w:t>
      </w:r>
      <w:r w:rsidR="000E3559">
        <w:rPr>
          <w:rFonts w:ascii="Times New Roman" w:hAnsi="Times New Roman" w:cs="Times New Roman"/>
          <w:sz w:val="24"/>
        </w:rPr>
        <w:t>B</w:t>
      </w:r>
      <w:r w:rsidR="00A34AF2">
        <w:rPr>
          <w:rFonts w:ascii="Times New Roman" w:hAnsi="Times New Roman" w:cs="Times New Roman"/>
          <w:sz w:val="24"/>
        </w:rPr>
        <w:t xml:space="preserve">y the mid-seventeenth century there </w:t>
      </w:r>
      <w:r w:rsidR="001B09E2">
        <w:rPr>
          <w:rFonts w:ascii="Times New Roman" w:hAnsi="Times New Roman" w:cs="Times New Roman"/>
          <w:sz w:val="24"/>
        </w:rPr>
        <w:t>were</w:t>
      </w:r>
      <w:r w:rsidR="00A34AF2">
        <w:rPr>
          <w:rFonts w:ascii="Times New Roman" w:hAnsi="Times New Roman" w:cs="Times New Roman"/>
          <w:sz w:val="24"/>
        </w:rPr>
        <w:t xml:space="preserve"> ‘over five times as many English translations as Latin titles’</w:t>
      </w:r>
      <w:r w:rsidR="007E5EFC">
        <w:rPr>
          <w:rFonts w:ascii="Times New Roman" w:hAnsi="Times New Roman" w:cs="Times New Roman"/>
          <w:sz w:val="24"/>
        </w:rPr>
        <w:t xml:space="preserve">, considerably </w:t>
      </w:r>
      <w:r w:rsidR="00A34AF2">
        <w:rPr>
          <w:rFonts w:ascii="Times New Roman" w:hAnsi="Times New Roman" w:cs="Times New Roman"/>
          <w:sz w:val="24"/>
        </w:rPr>
        <w:t>broaden</w:t>
      </w:r>
      <w:r w:rsidR="007E5EFC">
        <w:rPr>
          <w:rFonts w:ascii="Times New Roman" w:hAnsi="Times New Roman" w:cs="Times New Roman"/>
          <w:sz w:val="24"/>
        </w:rPr>
        <w:t>ing</w:t>
      </w:r>
      <w:r w:rsidR="00CB2751">
        <w:rPr>
          <w:rFonts w:ascii="Times New Roman" w:hAnsi="Times New Roman" w:cs="Times New Roman"/>
          <w:sz w:val="24"/>
        </w:rPr>
        <w:t xml:space="preserve"> access to</w:t>
      </w:r>
      <w:r w:rsidR="00A34AF2">
        <w:rPr>
          <w:rFonts w:ascii="Times New Roman" w:hAnsi="Times New Roman" w:cs="Times New Roman"/>
          <w:sz w:val="24"/>
        </w:rPr>
        <w:t xml:space="preserve"> </w:t>
      </w:r>
      <w:r w:rsidR="006137A9">
        <w:rPr>
          <w:rFonts w:ascii="Times New Roman" w:hAnsi="Times New Roman" w:cs="Times New Roman"/>
          <w:sz w:val="24"/>
        </w:rPr>
        <w:t>knowledge of</w:t>
      </w:r>
      <w:r w:rsidR="00A34AF2">
        <w:rPr>
          <w:rFonts w:ascii="Times New Roman" w:hAnsi="Times New Roman" w:cs="Times New Roman"/>
          <w:sz w:val="24"/>
        </w:rPr>
        <w:t xml:space="preserve"> the classical world.</w:t>
      </w:r>
      <w:r w:rsidR="00A34AF2">
        <w:rPr>
          <w:rStyle w:val="FootnoteReference"/>
          <w:rFonts w:ascii="Times New Roman" w:hAnsi="Times New Roman" w:cs="Times New Roman"/>
          <w:sz w:val="24"/>
        </w:rPr>
        <w:footnoteReference w:id="9"/>
      </w:r>
      <w:r w:rsidR="00A34AF2">
        <w:rPr>
          <w:rFonts w:ascii="Times New Roman" w:hAnsi="Times New Roman" w:cs="Times New Roman"/>
          <w:sz w:val="24"/>
        </w:rPr>
        <w:t xml:space="preserve"> Censorship made direct literary commentary on politics dangerous but the ‘functional ambiguity’ of works about the classical world served as an ‘indirect language’ by which authors could circumvent censorship with an appeal to history and the legitimacy of classical learning.</w:t>
      </w:r>
      <w:r w:rsidR="00A34AF2">
        <w:rPr>
          <w:rStyle w:val="FootnoteReference"/>
          <w:rFonts w:ascii="Times New Roman" w:hAnsi="Times New Roman" w:cs="Times New Roman"/>
          <w:sz w:val="24"/>
        </w:rPr>
        <w:footnoteReference w:id="10"/>
      </w:r>
      <w:r w:rsidR="00A34AF2">
        <w:rPr>
          <w:rFonts w:ascii="Times New Roman" w:hAnsi="Times New Roman" w:cs="Times New Roman"/>
          <w:sz w:val="24"/>
        </w:rPr>
        <w:t xml:space="preserve"> In representing key moments from Roman history, late Elizabethan author</w:t>
      </w:r>
      <w:r w:rsidR="00EF3259">
        <w:rPr>
          <w:rFonts w:ascii="Times New Roman" w:hAnsi="Times New Roman" w:cs="Times New Roman"/>
          <w:sz w:val="24"/>
        </w:rPr>
        <w:t>s</w:t>
      </w:r>
      <w:r w:rsidR="00A34AF2">
        <w:rPr>
          <w:rFonts w:ascii="Times New Roman" w:hAnsi="Times New Roman" w:cs="Times New Roman"/>
          <w:sz w:val="24"/>
        </w:rPr>
        <w:t xml:space="preserve"> self</w:t>
      </w:r>
      <w:r w:rsidR="00FC603F">
        <w:rPr>
          <w:rFonts w:ascii="Times New Roman" w:hAnsi="Times New Roman" w:cs="Times New Roman"/>
          <w:sz w:val="24"/>
        </w:rPr>
        <w:t>-</w:t>
      </w:r>
      <w:r w:rsidR="00A34AF2">
        <w:rPr>
          <w:rFonts w:ascii="Times New Roman" w:hAnsi="Times New Roman" w:cs="Times New Roman"/>
          <w:sz w:val="24"/>
        </w:rPr>
        <w:t>consciously positioned themsel</w:t>
      </w:r>
      <w:r w:rsidR="00EF3259">
        <w:rPr>
          <w:rFonts w:ascii="Times New Roman" w:hAnsi="Times New Roman" w:cs="Times New Roman"/>
          <w:sz w:val="24"/>
        </w:rPr>
        <w:t>ves</w:t>
      </w:r>
      <w:r w:rsidR="00A34AF2">
        <w:rPr>
          <w:rFonts w:ascii="Times New Roman" w:hAnsi="Times New Roman" w:cs="Times New Roman"/>
          <w:sz w:val="24"/>
        </w:rPr>
        <w:t xml:space="preserve"> </w:t>
      </w:r>
      <w:r w:rsidR="00D10A49">
        <w:rPr>
          <w:rFonts w:ascii="Times New Roman" w:hAnsi="Times New Roman" w:cs="Times New Roman"/>
          <w:sz w:val="24"/>
        </w:rPr>
        <w:t>not only with regard to</w:t>
      </w:r>
      <w:r w:rsidR="00A34AF2">
        <w:rPr>
          <w:rFonts w:ascii="Times New Roman" w:hAnsi="Times New Roman" w:cs="Times New Roman"/>
          <w:sz w:val="24"/>
        </w:rPr>
        <w:t xml:space="preserve"> the classical sources, but also </w:t>
      </w:r>
      <w:r w:rsidR="0032619C">
        <w:rPr>
          <w:rFonts w:ascii="Times New Roman" w:hAnsi="Times New Roman" w:cs="Times New Roman"/>
          <w:sz w:val="24"/>
        </w:rPr>
        <w:t>reflected</w:t>
      </w:r>
      <w:r w:rsidR="00A34AF2">
        <w:rPr>
          <w:rFonts w:ascii="Times New Roman" w:hAnsi="Times New Roman" w:cs="Times New Roman"/>
          <w:sz w:val="24"/>
        </w:rPr>
        <w:t xml:space="preserve"> prior representations within contemporary literary culture, prompting the audience to reflect upon the political inferences of the ‘re-presentation’.</w:t>
      </w:r>
      <w:r w:rsidR="00A34AF2">
        <w:rPr>
          <w:rStyle w:val="FootnoteReference"/>
          <w:rFonts w:ascii="Times New Roman" w:hAnsi="Times New Roman" w:cs="Times New Roman"/>
          <w:sz w:val="24"/>
        </w:rPr>
        <w:footnoteReference w:id="11"/>
      </w:r>
    </w:p>
    <w:p w14:paraId="41520C2D" w14:textId="19A69D3D" w:rsidR="004B7D1A" w:rsidRDefault="00774F4A" w:rsidP="002D58FB">
      <w:pPr>
        <w:spacing w:line="240" w:lineRule="auto"/>
        <w:jc w:val="both"/>
        <w:rPr>
          <w:rFonts w:ascii="Times New Roman" w:hAnsi="Times New Roman" w:cs="Times New Roman"/>
          <w:sz w:val="24"/>
        </w:rPr>
      </w:pPr>
      <w:r w:rsidRPr="00774F4A">
        <w:rPr>
          <w:rFonts w:ascii="Times New Roman" w:hAnsi="Times New Roman" w:cs="Times New Roman"/>
          <w:sz w:val="24"/>
        </w:rPr>
        <w:t xml:space="preserve">This </w:t>
      </w:r>
      <w:r w:rsidR="00DD7ACA">
        <w:rPr>
          <w:rFonts w:ascii="Times New Roman" w:hAnsi="Times New Roman" w:cs="Times New Roman"/>
          <w:sz w:val="24"/>
        </w:rPr>
        <w:t>thesis</w:t>
      </w:r>
      <w:r w:rsidR="00301EF4">
        <w:rPr>
          <w:rFonts w:ascii="Times New Roman" w:hAnsi="Times New Roman" w:cs="Times New Roman"/>
          <w:sz w:val="24"/>
        </w:rPr>
        <w:t xml:space="preserve"> </w:t>
      </w:r>
      <w:r w:rsidRPr="00774F4A">
        <w:rPr>
          <w:rFonts w:ascii="Times New Roman" w:hAnsi="Times New Roman" w:cs="Times New Roman"/>
          <w:sz w:val="24"/>
        </w:rPr>
        <w:t xml:space="preserve">will </w:t>
      </w:r>
      <w:r w:rsidR="009E2F77">
        <w:rPr>
          <w:rFonts w:ascii="Times New Roman" w:hAnsi="Times New Roman" w:cs="Times New Roman"/>
          <w:sz w:val="24"/>
        </w:rPr>
        <w:t>interrogate the relationship</w:t>
      </w:r>
      <w:r>
        <w:rPr>
          <w:rFonts w:ascii="Times New Roman" w:hAnsi="Times New Roman" w:cs="Times New Roman"/>
          <w:sz w:val="24"/>
        </w:rPr>
        <w:t xml:space="preserve"> between political culture and </w:t>
      </w:r>
      <w:r w:rsidR="00341266">
        <w:rPr>
          <w:rFonts w:ascii="Times New Roman" w:hAnsi="Times New Roman" w:cs="Times New Roman"/>
          <w:sz w:val="24"/>
        </w:rPr>
        <w:t>literary depictions</w:t>
      </w:r>
      <w:r w:rsidRPr="00774F4A">
        <w:rPr>
          <w:rFonts w:ascii="Times New Roman" w:hAnsi="Times New Roman" w:cs="Times New Roman"/>
          <w:sz w:val="24"/>
        </w:rPr>
        <w:t xml:space="preserve"> of the role and virtues of women</w:t>
      </w:r>
      <w:r>
        <w:rPr>
          <w:rFonts w:ascii="Times New Roman" w:hAnsi="Times New Roman" w:cs="Times New Roman"/>
          <w:sz w:val="24"/>
        </w:rPr>
        <w:t>. Specifically, it wi</w:t>
      </w:r>
      <w:r w:rsidR="00972850">
        <w:rPr>
          <w:rFonts w:ascii="Times New Roman" w:hAnsi="Times New Roman" w:cs="Times New Roman"/>
          <w:sz w:val="24"/>
        </w:rPr>
        <w:t>ll ask</w:t>
      </w:r>
      <w:r>
        <w:rPr>
          <w:rFonts w:ascii="Times New Roman" w:hAnsi="Times New Roman" w:cs="Times New Roman"/>
          <w:sz w:val="24"/>
        </w:rPr>
        <w:t xml:space="preserve"> how</w:t>
      </w:r>
      <w:r w:rsidRPr="00774F4A">
        <w:rPr>
          <w:rFonts w:ascii="Times New Roman" w:hAnsi="Times New Roman" w:cs="Times New Roman"/>
          <w:sz w:val="24"/>
        </w:rPr>
        <w:t xml:space="preserve"> </w:t>
      </w:r>
      <w:r w:rsidR="00580CA9">
        <w:rPr>
          <w:rFonts w:ascii="Times New Roman" w:hAnsi="Times New Roman" w:cs="Times New Roman"/>
          <w:sz w:val="24"/>
        </w:rPr>
        <w:t>the literary representation</w:t>
      </w:r>
      <w:r>
        <w:rPr>
          <w:rFonts w:ascii="Times New Roman" w:hAnsi="Times New Roman" w:cs="Times New Roman"/>
          <w:sz w:val="24"/>
        </w:rPr>
        <w:t xml:space="preserve"> of gender roles </w:t>
      </w:r>
      <w:r w:rsidRPr="00774F4A">
        <w:rPr>
          <w:rFonts w:ascii="Times New Roman" w:hAnsi="Times New Roman" w:cs="Times New Roman"/>
          <w:sz w:val="24"/>
        </w:rPr>
        <w:t xml:space="preserve">influenced political debate </w:t>
      </w:r>
      <w:r w:rsidR="0006129B" w:rsidRPr="00774F4A">
        <w:rPr>
          <w:rFonts w:ascii="Times New Roman" w:hAnsi="Times New Roman" w:cs="Times New Roman"/>
          <w:sz w:val="24"/>
        </w:rPr>
        <w:t>about</w:t>
      </w:r>
      <w:r w:rsidRPr="00774F4A">
        <w:rPr>
          <w:rFonts w:ascii="Times New Roman" w:hAnsi="Times New Roman" w:cs="Times New Roman"/>
          <w:sz w:val="24"/>
        </w:rPr>
        <w:t xml:space="preserve"> female rule through looking at presentations of classical women in drama during the </w:t>
      </w:r>
      <w:r w:rsidR="008202FF">
        <w:rPr>
          <w:rFonts w:ascii="Times New Roman" w:hAnsi="Times New Roman" w:cs="Times New Roman"/>
          <w:sz w:val="24"/>
        </w:rPr>
        <w:t>‘</w:t>
      </w:r>
      <w:r w:rsidRPr="00774F4A">
        <w:rPr>
          <w:rFonts w:ascii="Times New Roman" w:hAnsi="Times New Roman" w:cs="Times New Roman"/>
          <w:sz w:val="24"/>
        </w:rPr>
        <w:t>second reign</w:t>
      </w:r>
      <w:r w:rsidR="008202FF">
        <w:rPr>
          <w:rFonts w:ascii="Times New Roman" w:hAnsi="Times New Roman" w:cs="Times New Roman"/>
          <w:sz w:val="24"/>
        </w:rPr>
        <w:t>’</w:t>
      </w:r>
      <w:r w:rsidRPr="00774F4A">
        <w:rPr>
          <w:rFonts w:ascii="Times New Roman" w:hAnsi="Times New Roman" w:cs="Times New Roman"/>
          <w:sz w:val="24"/>
        </w:rPr>
        <w:t>.</w:t>
      </w:r>
      <w:r w:rsidR="00F93341" w:rsidRPr="00F93341">
        <w:rPr>
          <w:rFonts w:ascii="Times New Roman" w:hAnsi="Times New Roman" w:cs="Times New Roman"/>
          <w:sz w:val="24"/>
        </w:rPr>
        <w:t xml:space="preserve"> </w:t>
      </w:r>
      <w:r w:rsidR="00F93341">
        <w:rPr>
          <w:rFonts w:ascii="Times New Roman" w:hAnsi="Times New Roman" w:cs="Times New Roman"/>
          <w:sz w:val="24"/>
        </w:rPr>
        <w:t>Methodologically, this thesis draws on Peter Lake</w:t>
      </w:r>
      <w:r w:rsidR="00002814">
        <w:rPr>
          <w:rFonts w:ascii="Times New Roman" w:hAnsi="Times New Roman" w:cs="Times New Roman"/>
          <w:sz w:val="24"/>
        </w:rPr>
        <w:t>’s argument</w:t>
      </w:r>
      <w:r w:rsidR="00F93341">
        <w:rPr>
          <w:rFonts w:ascii="Times New Roman" w:hAnsi="Times New Roman" w:cs="Times New Roman"/>
          <w:sz w:val="24"/>
        </w:rPr>
        <w:t xml:space="preserve"> that the interaction between literature and political culture </w:t>
      </w:r>
      <w:r w:rsidR="0069271A">
        <w:rPr>
          <w:rFonts w:ascii="Times New Roman" w:hAnsi="Times New Roman" w:cs="Times New Roman"/>
          <w:sz w:val="24"/>
        </w:rPr>
        <w:t>is reciprocal</w:t>
      </w:r>
      <w:r w:rsidR="00F93341">
        <w:rPr>
          <w:rFonts w:ascii="Times New Roman" w:hAnsi="Times New Roman" w:cs="Times New Roman"/>
          <w:sz w:val="24"/>
        </w:rPr>
        <w:t>: political context provide</w:t>
      </w:r>
      <w:r w:rsidR="00364843">
        <w:rPr>
          <w:rFonts w:ascii="Times New Roman" w:hAnsi="Times New Roman" w:cs="Times New Roman"/>
          <w:sz w:val="24"/>
        </w:rPr>
        <w:t>s</w:t>
      </w:r>
      <w:r w:rsidR="00F93341">
        <w:rPr>
          <w:rFonts w:ascii="Times New Roman" w:hAnsi="Times New Roman" w:cs="Times New Roman"/>
          <w:sz w:val="24"/>
        </w:rPr>
        <w:t xml:space="preserve"> an interpretation of a text or performance which can then be used ‘to cast light back upon…political culture’.</w:t>
      </w:r>
      <w:r w:rsidR="00F93341">
        <w:rPr>
          <w:rStyle w:val="FootnoteReference"/>
          <w:rFonts w:ascii="Times New Roman" w:hAnsi="Times New Roman" w:cs="Times New Roman"/>
          <w:sz w:val="24"/>
        </w:rPr>
        <w:footnoteReference w:id="12"/>
      </w:r>
      <w:r w:rsidR="00F93341">
        <w:rPr>
          <w:rFonts w:ascii="Times New Roman" w:hAnsi="Times New Roman" w:cs="Times New Roman"/>
          <w:sz w:val="24"/>
        </w:rPr>
        <w:t xml:space="preserve"> This methodology thus emphasizes the importance of both a contextual </w:t>
      </w:r>
      <w:r w:rsidR="00F93341" w:rsidRPr="005D4505">
        <w:rPr>
          <w:rFonts w:ascii="Times New Roman" w:hAnsi="Times New Roman" w:cs="Times New Roman"/>
          <w:i/>
          <w:sz w:val="24"/>
        </w:rPr>
        <w:t>and</w:t>
      </w:r>
      <w:r w:rsidR="00F93341">
        <w:rPr>
          <w:rFonts w:ascii="Times New Roman" w:hAnsi="Times New Roman" w:cs="Times New Roman"/>
          <w:sz w:val="24"/>
        </w:rPr>
        <w:t xml:space="preserve"> a textual analysis of literature when studying its relationship with political culture.</w:t>
      </w:r>
      <w:r w:rsidRPr="00774F4A">
        <w:rPr>
          <w:rFonts w:ascii="Times New Roman" w:hAnsi="Times New Roman" w:cs="Times New Roman"/>
          <w:sz w:val="24"/>
        </w:rPr>
        <w:t xml:space="preserve"> </w:t>
      </w:r>
      <w:r>
        <w:rPr>
          <w:rFonts w:ascii="Times New Roman" w:hAnsi="Times New Roman" w:cs="Times New Roman"/>
          <w:sz w:val="24"/>
        </w:rPr>
        <w:t>Drama</w:t>
      </w:r>
      <w:r w:rsidR="00DF4F7E">
        <w:rPr>
          <w:rFonts w:ascii="Times New Roman" w:hAnsi="Times New Roman" w:cs="Times New Roman"/>
          <w:sz w:val="24"/>
        </w:rPr>
        <w:t xml:space="preserve"> </w:t>
      </w:r>
      <w:r>
        <w:rPr>
          <w:rFonts w:ascii="Times New Roman" w:hAnsi="Times New Roman" w:cs="Times New Roman"/>
          <w:sz w:val="24"/>
        </w:rPr>
        <w:t xml:space="preserve">is a particularly interesting </w:t>
      </w:r>
      <w:r w:rsidR="00DF4F7E">
        <w:rPr>
          <w:rFonts w:ascii="Times New Roman" w:hAnsi="Times New Roman" w:cs="Times New Roman"/>
          <w:sz w:val="24"/>
        </w:rPr>
        <w:t>medium</w:t>
      </w:r>
      <w:r>
        <w:rPr>
          <w:rFonts w:ascii="Times New Roman" w:hAnsi="Times New Roman" w:cs="Times New Roman"/>
          <w:sz w:val="24"/>
        </w:rPr>
        <w:t xml:space="preserve"> because its different genres </w:t>
      </w:r>
      <w:r w:rsidR="0081753D">
        <w:rPr>
          <w:rFonts w:ascii="Times New Roman" w:hAnsi="Times New Roman" w:cs="Times New Roman"/>
          <w:sz w:val="24"/>
        </w:rPr>
        <w:t>aimed to appeal to</w:t>
      </w:r>
      <w:r>
        <w:rPr>
          <w:rFonts w:ascii="Times New Roman" w:hAnsi="Times New Roman" w:cs="Times New Roman"/>
          <w:sz w:val="24"/>
        </w:rPr>
        <w:t xml:space="preserve"> a wide range of social </w:t>
      </w:r>
      <w:r w:rsidR="008202FF">
        <w:rPr>
          <w:rFonts w:ascii="Times New Roman" w:hAnsi="Times New Roman" w:cs="Times New Roman"/>
          <w:sz w:val="24"/>
        </w:rPr>
        <w:t>backgrounds</w:t>
      </w:r>
      <w:r>
        <w:rPr>
          <w:rFonts w:ascii="Times New Roman" w:hAnsi="Times New Roman" w:cs="Times New Roman"/>
          <w:sz w:val="24"/>
        </w:rPr>
        <w:t xml:space="preserve"> and classes, from the aristocratic, poetical pretensions </w:t>
      </w:r>
      <w:r>
        <w:rPr>
          <w:rFonts w:ascii="Times New Roman" w:hAnsi="Times New Roman" w:cs="Times New Roman"/>
          <w:sz w:val="24"/>
        </w:rPr>
        <w:lastRenderedPageBreak/>
        <w:t>of the closet drama to the populis</w:t>
      </w:r>
      <w:r w:rsidR="00747966">
        <w:rPr>
          <w:rFonts w:ascii="Times New Roman" w:hAnsi="Times New Roman" w:cs="Times New Roman"/>
          <w:sz w:val="24"/>
        </w:rPr>
        <w:t>m of the London</w:t>
      </w:r>
      <w:r>
        <w:rPr>
          <w:rFonts w:ascii="Times New Roman" w:hAnsi="Times New Roman" w:cs="Times New Roman"/>
          <w:sz w:val="24"/>
        </w:rPr>
        <w:t xml:space="preserve"> stage plays.</w:t>
      </w:r>
      <w:r w:rsidR="00756AAB">
        <w:rPr>
          <w:rStyle w:val="FootnoteReference"/>
          <w:rFonts w:ascii="Times New Roman" w:hAnsi="Times New Roman" w:cs="Times New Roman"/>
          <w:sz w:val="24"/>
        </w:rPr>
        <w:footnoteReference w:id="13"/>
      </w:r>
      <w:r>
        <w:rPr>
          <w:rFonts w:ascii="Times New Roman" w:hAnsi="Times New Roman" w:cs="Times New Roman"/>
          <w:sz w:val="24"/>
        </w:rPr>
        <w:t xml:space="preserve"> Focusing on classical women within drama </w:t>
      </w:r>
      <w:r w:rsidR="00F546C9">
        <w:rPr>
          <w:rFonts w:ascii="Times New Roman" w:hAnsi="Times New Roman" w:cs="Times New Roman"/>
          <w:sz w:val="24"/>
        </w:rPr>
        <w:t>reflects not only</w:t>
      </w:r>
      <w:r w:rsidR="00063533">
        <w:rPr>
          <w:rFonts w:ascii="Times New Roman" w:hAnsi="Times New Roman" w:cs="Times New Roman"/>
          <w:sz w:val="24"/>
        </w:rPr>
        <w:t xml:space="preserve"> late Elizabethan</w:t>
      </w:r>
      <w:r w:rsidR="00F546C9">
        <w:rPr>
          <w:rFonts w:ascii="Times New Roman" w:hAnsi="Times New Roman" w:cs="Times New Roman"/>
          <w:sz w:val="24"/>
        </w:rPr>
        <w:t xml:space="preserve"> interest in antiquity, but also has specific relevance to female morality. Constancy was perceived to be the cornerstone of female virtue</w:t>
      </w:r>
      <w:r w:rsidR="00EE3A06">
        <w:rPr>
          <w:rFonts w:ascii="Times New Roman" w:hAnsi="Times New Roman" w:cs="Times New Roman"/>
          <w:sz w:val="24"/>
        </w:rPr>
        <w:t>, as well as being an area of particular</w:t>
      </w:r>
      <w:r w:rsidR="000433C5">
        <w:rPr>
          <w:rFonts w:ascii="Times New Roman" w:hAnsi="Times New Roman" w:cs="Times New Roman"/>
          <w:sz w:val="24"/>
        </w:rPr>
        <w:t>ly</w:t>
      </w:r>
      <w:r w:rsidR="00EE3A06">
        <w:rPr>
          <w:rFonts w:ascii="Times New Roman" w:hAnsi="Times New Roman" w:cs="Times New Roman"/>
          <w:sz w:val="24"/>
        </w:rPr>
        <w:t xml:space="preserve"> womanly weakness. </w:t>
      </w:r>
      <w:r w:rsidR="00B97F8C">
        <w:rPr>
          <w:rFonts w:ascii="Times New Roman" w:hAnsi="Times New Roman" w:cs="Times New Roman"/>
          <w:sz w:val="24"/>
        </w:rPr>
        <w:t>Ancient Rom</w:t>
      </w:r>
      <w:r w:rsidR="00F058F0">
        <w:rPr>
          <w:rFonts w:ascii="Times New Roman" w:hAnsi="Times New Roman" w:cs="Times New Roman"/>
          <w:sz w:val="24"/>
        </w:rPr>
        <w:t>ans</w:t>
      </w:r>
      <w:r w:rsidR="00EE3A06">
        <w:rPr>
          <w:rFonts w:ascii="Times New Roman" w:hAnsi="Times New Roman" w:cs="Times New Roman"/>
          <w:sz w:val="24"/>
        </w:rPr>
        <w:t>, partly through the influences of neo-stoicism, w</w:t>
      </w:r>
      <w:r w:rsidR="00F058F0">
        <w:rPr>
          <w:rFonts w:ascii="Times New Roman" w:hAnsi="Times New Roman" w:cs="Times New Roman"/>
          <w:sz w:val="24"/>
        </w:rPr>
        <w:t>ere</w:t>
      </w:r>
      <w:r w:rsidR="00EE3A06">
        <w:rPr>
          <w:rFonts w:ascii="Times New Roman" w:hAnsi="Times New Roman" w:cs="Times New Roman"/>
          <w:sz w:val="24"/>
        </w:rPr>
        <w:t xml:space="preserve"> seen as being obsessed with constancy as a virtue and thus present a</w:t>
      </w:r>
      <w:r w:rsidR="00B97F8C">
        <w:rPr>
          <w:rFonts w:ascii="Times New Roman" w:hAnsi="Times New Roman" w:cs="Times New Roman"/>
          <w:sz w:val="24"/>
        </w:rPr>
        <w:t>n especially</w:t>
      </w:r>
      <w:r w:rsidR="00EE3A06">
        <w:rPr>
          <w:rFonts w:ascii="Times New Roman" w:hAnsi="Times New Roman" w:cs="Times New Roman"/>
          <w:sz w:val="24"/>
        </w:rPr>
        <w:t xml:space="preserve"> apt way of exploring female </w:t>
      </w:r>
      <w:r w:rsidR="00235C94">
        <w:rPr>
          <w:rFonts w:ascii="Times New Roman" w:hAnsi="Times New Roman" w:cs="Times New Roman"/>
          <w:sz w:val="24"/>
        </w:rPr>
        <w:t>morality</w:t>
      </w:r>
      <w:r w:rsidR="00EE3A06">
        <w:rPr>
          <w:rFonts w:ascii="Times New Roman" w:hAnsi="Times New Roman" w:cs="Times New Roman"/>
          <w:sz w:val="24"/>
        </w:rPr>
        <w:t>.</w:t>
      </w:r>
      <w:r w:rsidR="0072631D">
        <w:rPr>
          <w:rStyle w:val="FootnoteReference"/>
          <w:rFonts w:ascii="Times New Roman" w:hAnsi="Times New Roman" w:cs="Times New Roman"/>
          <w:sz w:val="24"/>
        </w:rPr>
        <w:footnoteReference w:id="14"/>
      </w:r>
      <w:r w:rsidR="00EE3A06">
        <w:rPr>
          <w:rFonts w:ascii="Times New Roman" w:hAnsi="Times New Roman" w:cs="Times New Roman"/>
          <w:sz w:val="24"/>
        </w:rPr>
        <w:t xml:space="preserve"> Moreover, the classical world was often </w:t>
      </w:r>
      <w:r w:rsidR="00940403">
        <w:rPr>
          <w:rFonts w:ascii="Times New Roman" w:hAnsi="Times New Roman" w:cs="Times New Roman"/>
          <w:sz w:val="24"/>
        </w:rPr>
        <w:t xml:space="preserve">used to </w:t>
      </w:r>
      <w:r w:rsidR="00EE3A06">
        <w:rPr>
          <w:rFonts w:ascii="Times New Roman" w:hAnsi="Times New Roman" w:cs="Times New Roman"/>
          <w:sz w:val="24"/>
        </w:rPr>
        <w:t>provid</w:t>
      </w:r>
      <w:r w:rsidR="00940403">
        <w:rPr>
          <w:rFonts w:ascii="Times New Roman" w:hAnsi="Times New Roman" w:cs="Times New Roman"/>
          <w:sz w:val="24"/>
        </w:rPr>
        <w:t>e</w:t>
      </w:r>
      <w:r w:rsidR="00EE3A06">
        <w:rPr>
          <w:rFonts w:ascii="Times New Roman" w:hAnsi="Times New Roman" w:cs="Times New Roman"/>
          <w:sz w:val="24"/>
        </w:rPr>
        <w:t xml:space="preserve"> historical exempla for moral (and immoral) behaviour.</w:t>
      </w:r>
      <w:r w:rsidR="004D7CE4">
        <w:rPr>
          <w:rStyle w:val="FootnoteReference"/>
          <w:rFonts w:ascii="Times New Roman" w:hAnsi="Times New Roman" w:cs="Times New Roman"/>
          <w:sz w:val="24"/>
        </w:rPr>
        <w:footnoteReference w:id="15"/>
      </w:r>
      <w:r w:rsidR="00EE3A06">
        <w:rPr>
          <w:rFonts w:ascii="Times New Roman" w:hAnsi="Times New Roman" w:cs="Times New Roman"/>
          <w:sz w:val="24"/>
        </w:rPr>
        <w:t xml:space="preserve"> A</w:t>
      </w:r>
      <w:r w:rsidR="0006129B">
        <w:rPr>
          <w:rFonts w:ascii="Times New Roman" w:hAnsi="Times New Roman" w:cs="Times New Roman"/>
          <w:sz w:val="24"/>
        </w:rPr>
        <w:t xml:space="preserve"> synoptic</w:t>
      </w:r>
      <w:r w:rsidR="00EE3A06">
        <w:rPr>
          <w:rFonts w:ascii="Times New Roman" w:hAnsi="Times New Roman" w:cs="Times New Roman"/>
          <w:sz w:val="24"/>
        </w:rPr>
        <w:t xml:space="preserve"> analysis of classical women as portrayed in drama, therefore, provide</w:t>
      </w:r>
      <w:r w:rsidR="002A7CE5">
        <w:rPr>
          <w:rFonts w:ascii="Times New Roman" w:hAnsi="Times New Roman" w:cs="Times New Roman"/>
          <w:sz w:val="24"/>
        </w:rPr>
        <w:t>s</w:t>
      </w:r>
      <w:r w:rsidR="00EE3A06">
        <w:rPr>
          <w:rFonts w:ascii="Times New Roman" w:hAnsi="Times New Roman" w:cs="Times New Roman"/>
          <w:sz w:val="24"/>
        </w:rPr>
        <w:t xml:space="preserve"> a </w:t>
      </w:r>
      <w:r w:rsidR="0006129B">
        <w:rPr>
          <w:rFonts w:ascii="Times New Roman" w:hAnsi="Times New Roman" w:cs="Times New Roman"/>
          <w:sz w:val="24"/>
        </w:rPr>
        <w:t>broad</w:t>
      </w:r>
      <w:r w:rsidR="00EE3A06">
        <w:rPr>
          <w:rFonts w:ascii="Times New Roman" w:hAnsi="Times New Roman" w:cs="Times New Roman"/>
          <w:sz w:val="24"/>
        </w:rPr>
        <w:t xml:space="preserve"> vision of how female morality was conceived of and female rule conceptualised</w:t>
      </w:r>
      <w:r w:rsidR="0006129B">
        <w:rPr>
          <w:rFonts w:ascii="Times New Roman" w:hAnsi="Times New Roman" w:cs="Times New Roman"/>
          <w:sz w:val="24"/>
        </w:rPr>
        <w:t>.</w:t>
      </w:r>
    </w:p>
    <w:p w14:paraId="5DAF0BA9" w14:textId="6F2A0A3C" w:rsidR="001E65EF" w:rsidRDefault="00B02A8F" w:rsidP="002D58FB">
      <w:pPr>
        <w:spacing w:line="240" w:lineRule="auto"/>
        <w:jc w:val="both"/>
        <w:rPr>
          <w:rFonts w:ascii="Times New Roman" w:hAnsi="Times New Roman" w:cs="Times New Roman"/>
          <w:sz w:val="24"/>
        </w:rPr>
      </w:pPr>
      <w:r>
        <w:rPr>
          <w:rFonts w:ascii="Times New Roman" w:hAnsi="Times New Roman" w:cs="Times New Roman"/>
          <w:sz w:val="24"/>
        </w:rPr>
        <w:t>This thesis will argue that female rule</w:t>
      </w:r>
      <w:r w:rsidR="00877BC1">
        <w:rPr>
          <w:rFonts w:ascii="Times New Roman" w:hAnsi="Times New Roman" w:cs="Times New Roman"/>
          <w:sz w:val="24"/>
        </w:rPr>
        <w:t>, as negatively presented in most of the play</w:t>
      </w:r>
      <w:r w:rsidR="00A904C0">
        <w:rPr>
          <w:rFonts w:ascii="Times New Roman" w:hAnsi="Times New Roman" w:cs="Times New Roman"/>
          <w:sz w:val="24"/>
        </w:rPr>
        <w:t>s</w:t>
      </w:r>
      <w:r w:rsidR="00877BC1">
        <w:rPr>
          <w:rFonts w:ascii="Times New Roman" w:hAnsi="Times New Roman" w:cs="Times New Roman"/>
          <w:sz w:val="24"/>
        </w:rPr>
        <w:t xml:space="preserve"> from this period featuring classical women</w:t>
      </w:r>
      <w:r w:rsidR="00DE7967">
        <w:rPr>
          <w:rFonts w:ascii="Times New Roman" w:hAnsi="Times New Roman" w:cs="Times New Roman"/>
          <w:sz w:val="24"/>
        </w:rPr>
        <w:t>, was shaped by</w:t>
      </w:r>
      <w:r w:rsidR="00FB3019">
        <w:rPr>
          <w:rFonts w:ascii="Times New Roman" w:hAnsi="Times New Roman" w:cs="Times New Roman"/>
          <w:sz w:val="24"/>
        </w:rPr>
        <w:t xml:space="preserve"> a concern that the virtues expected of women </w:t>
      </w:r>
      <w:r w:rsidR="0006129B">
        <w:rPr>
          <w:rFonts w:ascii="Times New Roman" w:hAnsi="Times New Roman" w:cs="Times New Roman"/>
          <w:sz w:val="24"/>
        </w:rPr>
        <w:t>were</w:t>
      </w:r>
      <w:r w:rsidR="00FB3019">
        <w:rPr>
          <w:rFonts w:ascii="Times New Roman" w:hAnsi="Times New Roman" w:cs="Times New Roman"/>
          <w:sz w:val="24"/>
        </w:rPr>
        <w:t xml:space="preserve"> incompatible with </w:t>
      </w:r>
      <w:r w:rsidR="0006129B">
        <w:rPr>
          <w:rFonts w:ascii="Times New Roman" w:hAnsi="Times New Roman" w:cs="Times New Roman"/>
          <w:sz w:val="24"/>
        </w:rPr>
        <w:t>politics</w:t>
      </w:r>
      <w:r w:rsidR="00FB3019">
        <w:rPr>
          <w:rFonts w:ascii="Times New Roman" w:hAnsi="Times New Roman" w:cs="Times New Roman"/>
          <w:sz w:val="24"/>
        </w:rPr>
        <w:t>.</w:t>
      </w:r>
      <w:r w:rsidR="008202FF">
        <w:rPr>
          <w:rFonts w:ascii="Times New Roman" w:hAnsi="Times New Roman" w:cs="Times New Roman"/>
          <w:sz w:val="24"/>
        </w:rPr>
        <w:t xml:space="preserve"> </w:t>
      </w:r>
      <w:r w:rsidR="00F327EB">
        <w:rPr>
          <w:rFonts w:ascii="Times New Roman" w:hAnsi="Times New Roman" w:cs="Times New Roman"/>
          <w:sz w:val="24"/>
        </w:rPr>
        <w:t>Whilst historians and literary scholars have frequently examined the relationship between queenship and virtue during the late Elizabethan period in relation to Spenser and, to a lesser degree, Shakespeare,</w:t>
      </w:r>
      <w:r w:rsidR="003F2286">
        <w:rPr>
          <w:rFonts w:ascii="Times New Roman" w:hAnsi="Times New Roman" w:cs="Times New Roman"/>
          <w:sz w:val="24"/>
        </w:rPr>
        <w:t xml:space="preserve"> </w:t>
      </w:r>
      <w:r w:rsidR="00F327EB">
        <w:rPr>
          <w:rFonts w:ascii="Times New Roman" w:hAnsi="Times New Roman" w:cs="Times New Roman"/>
          <w:sz w:val="24"/>
        </w:rPr>
        <w:t>the relationship between female public and private morality in literary culture</w:t>
      </w:r>
      <w:r w:rsidR="003F2286">
        <w:rPr>
          <w:rFonts w:ascii="Times New Roman" w:hAnsi="Times New Roman" w:cs="Times New Roman"/>
          <w:sz w:val="24"/>
        </w:rPr>
        <w:t xml:space="preserve"> with specific reference to female rule</w:t>
      </w:r>
      <w:r w:rsidR="00F327EB">
        <w:rPr>
          <w:rFonts w:ascii="Times New Roman" w:hAnsi="Times New Roman" w:cs="Times New Roman"/>
          <w:sz w:val="24"/>
        </w:rPr>
        <w:t xml:space="preserve"> is </w:t>
      </w:r>
      <w:r w:rsidR="0034367E">
        <w:rPr>
          <w:rFonts w:ascii="Times New Roman" w:hAnsi="Times New Roman" w:cs="Times New Roman"/>
          <w:sz w:val="24"/>
        </w:rPr>
        <w:t>still frequently overlooked</w:t>
      </w:r>
      <w:r w:rsidR="00F327EB">
        <w:rPr>
          <w:rFonts w:ascii="Times New Roman" w:hAnsi="Times New Roman" w:cs="Times New Roman"/>
          <w:sz w:val="24"/>
        </w:rPr>
        <w:t>.</w:t>
      </w:r>
      <w:r w:rsidR="003F2286">
        <w:rPr>
          <w:rStyle w:val="FootnoteReference"/>
          <w:rFonts w:ascii="Times New Roman" w:hAnsi="Times New Roman" w:cs="Times New Roman"/>
          <w:sz w:val="24"/>
        </w:rPr>
        <w:footnoteReference w:id="16"/>
      </w:r>
      <w:r w:rsidR="00146A86">
        <w:rPr>
          <w:rFonts w:ascii="Times New Roman" w:hAnsi="Times New Roman" w:cs="Times New Roman"/>
          <w:sz w:val="24"/>
        </w:rPr>
        <w:t xml:space="preserve"> Much work has</w:t>
      </w:r>
      <w:r w:rsidR="00F327EB">
        <w:rPr>
          <w:rFonts w:ascii="Times New Roman" w:hAnsi="Times New Roman" w:cs="Times New Roman"/>
          <w:sz w:val="24"/>
        </w:rPr>
        <w:t xml:space="preserve"> </w:t>
      </w:r>
      <w:r w:rsidR="009106EE">
        <w:rPr>
          <w:rFonts w:ascii="Times New Roman" w:hAnsi="Times New Roman" w:cs="Times New Roman"/>
          <w:sz w:val="24"/>
        </w:rPr>
        <w:t>studied the</w:t>
      </w:r>
      <w:r w:rsidR="00F327EB">
        <w:rPr>
          <w:rFonts w:ascii="Times New Roman" w:hAnsi="Times New Roman" w:cs="Times New Roman"/>
          <w:sz w:val="24"/>
        </w:rPr>
        <w:t xml:space="preserve"> broader political questions of republicanism and monarchy in literature, especially Shakespeare’s history plays, but </w:t>
      </w:r>
      <w:r w:rsidR="00E5485A">
        <w:rPr>
          <w:rFonts w:ascii="Times New Roman" w:hAnsi="Times New Roman" w:cs="Times New Roman"/>
          <w:sz w:val="24"/>
        </w:rPr>
        <w:t>comparatively little has made women the focus</w:t>
      </w:r>
      <w:r w:rsidR="004B7D1A">
        <w:rPr>
          <w:rFonts w:ascii="Times New Roman" w:hAnsi="Times New Roman" w:cs="Times New Roman"/>
          <w:sz w:val="24"/>
        </w:rPr>
        <w:t>.</w:t>
      </w:r>
      <w:r w:rsidR="006F0810">
        <w:rPr>
          <w:rStyle w:val="FootnoteReference"/>
          <w:rFonts w:ascii="Times New Roman" w:hAnsi="Times New Roman" w:cs="Times New Roman"/>
          <w:sz w:val="24"/>
        </w:rPr>
        <w:footnoteReference w:id="17"/>
      </w:r>
      <w:r w:rsidR="004B7D1A">
        <w:rPr>
          <w:rFonts w:ascii="Times New Roman" w:hAnsi="Times New Roman" w:cs="Times New Roman"/>
          <w:sz w:val="24"/>
        </w:rPr>
        <w:t xml:space="preserve"> </w:t>
      </w:r>
      <w:r w:rsidR="003E2969">
        <w:rPr>
          <w:rFonts w:ascii="Times New Roman" w:hAnsi="Times New Roman" w:cs="Times New Roman"/>
          <w:sz w:val="24"/>
        </w:rPr>
        <w:t>This study</w:t>
      </w:r>
      <w:r w:rsidR="00674B6C">
        <w:rPr>
          <w:rFonts w:ascii="Times New Roman" w:hAnsi="Times New Roman" w:cs="Times New Roman"/>
          <w:sz w:val="24"/>
        </w:rPr>
        <w:t xml:space="preserve"> </w:t>
      </w:r>
      <w:r w:rsidR="00F327EB">
        <w:rPr>
          <w:rFonts w:ascii="Times New Roman" w:hAnsi="Times New Roman" w:cs="Times New Roman"/>
          <w:sz w:val="24"/>
        </w:rPr>
        <w:t>of classical women in drama will give some sense of how literature reflected and perpetuated wider political considerations of female virtue, particularly with regard to female rule.</w:t>
      </w:r>
    </w:p>
    <w:p w14:paraId="3AD79AFB" w14:textId="77777777" w:rsidR="00A4133E" w:rsidRDefault="00A4133E" w:rsidP="002D58FB">
      <w:pPr>
        <w:spacing w:line="240" w:lineRule="auto"/>
        <w:jc w:val="both"/>
        <w:rPr>
          <w:rFonts w:ascii="Times New Roman" w:hAnsi="Times New Roman" w:cs="Times New Roman"/>
          <w:sz w:val="24"/>
        </w:rPr>
      </w:pPr>
    </w:p>
    <w:p w14:paraId="79063B64" w14:textId="25C434F2" w:rsidR="00DD7ACA" w:rsidRDefault="00DD7ACA" w:rsidP="002D58FB">
      <w:pPr>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w:t>
      </w:r>
    </w:p>
    <w:p w14:paraId="3DD37633" w14:textId="77777777" w:rsidR="00A4133E" w:rsidRDefault="00A4133E" w:rsidP="002D58FB">
      <w:pPr>
        <w:spacing w:line="240" w:lineRule="auto"/>
        <w:jc w:val="both"/>
        <w:rPr>
          <w:rFonts w:ascii="Times New Roman" w:hAnsi="Times New Roman" w:cs="Times New Roman"/>
          <w:sz w:val="24"/>
        </w:rPr>
      </w:pPr>
    </w:p>
    <w:p w14:paraId="150F51A2" w14:textId="7C615A55" w:rsidR="00FB3019" w:rsidRDefault="00F34BA9" w:rsidP="002D58FB">
      <w:pPr>
        <w:spacing w:line="240" w:lineRule="auto"/>
        <w:jc w:val="both"/>
        <w:rPr>
          <w:rFonts w:ascii="Times New Roman" w:hAnsi="Times New Roman" w:cs="Times New Roman"/>
          <w:sz w:val="24"/>
        </w:rPr>
      </w:pPr>
      <w:r>
        <w:rPr>
          <w:rFonts w:ascii="Times New Roman" w:hAnsi="Times New Roman" w:cs="Times New Roman"/>
          <w:sz w:val="24"/>
        </w:rPr>
        <w:t>P</w:t>
      </w:r>
      <w:r w:rsidR="007414CC">
        <w:rPr>
          <w:rFonts w:ascii="Times New Roman" w:hAnsi="Times New Roman" w:cs="Times New Roman"/>
          <w:sz w:val="24"/>
        </w:rPr>
        <w:t>resentation</w:t>
      </w:r>
      <w:r w:rsidR="00353B4F">
        <w:rPr>
          <w:rFonts w:ascii="Times New Roman" w:hAnsi="Times New Roman" w:cs="Times New Roman"/>
          <w:sz w:val="24"/>
        </w:rPr>
        <w:t>s</w:t>
      </w:r>
      <w:r w:rsidR="007414CC">
        <w:rPr>
          <w:rFonts w:ascii="Times New Roman" w:hAnsi="Times New Roman" w:cs="Times New Roman"/>
          <w:sz w:val="24"/>
        </w:rPr>
        <w:t xml:space="preserve"> of classical women in drama</w:t>
      </w:r>
      <w:r w:rsidR="00F635AF">
        <w:rPr>
          <w:rFonts w:ascii="Times New Roman" w:hAnsi="Times New Roman" w:cs="Times New Roman"/>
          <w:sz w:val="24"/>
        </w:rPr>
        <w:t xml:space="preserve"> drew on</w:t>
      </w:r>
      <w:r w:rsidR="007414CC">
        <w:rPr>
          <w:rFonts w:ascii="Times New Roman" w:hAnsi="Times New Roman" w:cs="Times New Roman"/>
          <w:sz w:val="24"/>
        </w:rPr>
        <w:t xml:space="preserve"> </w:t>
      </w:r>
      <w:r w:rsidR="00F635AF">
        <w:rPr>
          <w:rFonts w:ascii="Times New Roman" w:hAnsi="Times New Roman" w:cs="Times New Roman"/>
          <w:sz w:val="24"/>
        </w:rPr>
        <w:t xml:space="preserve">perceptions of </w:t>
      </w:r>
      <w:r w:rsidR="007414CC">
        <w:rPr>
          <w:rFonts w:ascii="Times New Roman" w:hAnsi="Times New Roman" w:cs="Times New Roman"/>
          <w:sz w:val="24"/>
        </w:rPr>
        <w:t>female virtue in wider intellectual culture. Writings on women’s morality took a variety of forms throughout the late sixteenth and early seventeenth</w:t>
      </w:r>
      <w:r w:rsidR="00EB07DE">
        <w:rPr>
          <w:rFonts w:ascii="Times New Roman" w:hAnsi="Times New Roman" w:cs="Times New Roman"/>
          <w:sz w:val="24"/>
        </w:rPr>
        <w:t xml:space="preserve"> </w:t>
      </w:r>
      <w:r w:rsidR="007414CC">
        <w:rPr>
          <w:rFonts w:ascii="Times New Roman" w:hAnsi="Times New Roman" w:cs="Times New Roman"/>
          <w:sz w:val="24"/>
        </w:rPr>
        <w:t>centuries but</w:t>
      </w:r>
      <w:r w:rsidR="003E1049">
        <w:rPr>
          <w:rFonts w:ascii="Times New Roman" w:hAnsi="Times New Roman" w:cs="Times New Roman"/>
          <w:sz w:val="24"/>
        </w:rPr>
        <w:t>,</w:t>
      </w:r>
      <w:r w:rsidR="007414CC">
        <w:rPr>
          <w:rFonts w:ascii="Times New Roman" w:hAnsi="Times New Roman" w:cs="Times New Roman"/>
          <w:sz w:val="24"/>
        </w:rPr>
        <w:t xml:space="preserve"> despite this, consistent themes emerge. The first is the emphasis which writers placed upon the un</w:t>
      </w:r>
      <w:r w:rsidR="00163EAC">
        <w:rPr>
          <w:rFonts w:ascii="Times New Roman" w:hAnsi="Times New Roman" w:cs="Times New Roman"/>
          <w:sz w:val="24"/>
        </w:rPr>
        <w:t>wavering</w:t>
      </w:r>
      <w:r w:rsidR="007414CC">
        <w:rPr>
          <w:rFonts w:ascii="Times New Roman" w:hAnsi="Times New Roman" w:cs="Times New Roman"/>
          <w:sz w:val="24"/>
        </w:rPr>
        <w:t xml:space="preserve"> loyalty which wives owe</w:t>
      </w:r>
      <w:r w:rsidR="00D871E5">
        <w:rPr>
          <w:rFonts w:ascii="Times New Roman" w:hAnsi="Times New Roman" w:cs="Times New Roman"/>
          <w:sz w:val="24"/>
        </w:rPr>
        <w:t>d</w:t>
      </w:r>
      <w:r w:rsidR="007414CC">
        <w:rPr>
          <w:rFonts w:ascii="Times New Roman" w:hAnsi="Times New Roman" w:cs="Times New Roman"/>
          <w:sz w:val="24"/>
        </w:rPr>
        <w:t xml:space="preserve"> their husbands. </w:t>
      </w:r>
      <w:r w:rsidR="007414CC" w:rsidRPr="007414CC">
        <w:rPr>
          <w:rFonts w:ascii="Times New Roman" w:hAnsi="Times New Roman" w:cs="Times New Roman"/>
          <w:i/>
          <w:sz w:val="24"/>
        </w:rPr>
        <w:t xml:space="preserve">A </w:t>
      </w:r>
      <w:r w:rsidR="007414CC">
        <w:rPr>
          <w:rFonts w:ascii="Times New Roman" w:hAnsi="Times New Roman" w:cs="Times New Roman"/>
          <w:i/>
          <w:sz w:val="24"/>
        </w:rPr>
        <w:t>h</w:t>
      </w:r>
      <w:r w:rsidR="007414CC" w:rsidRPr="007414CC">
        <w:rPr>
          <w:rFonts w:ascii="Times New Roman" w:hAnsi="Times New Roman" w:cs="Times New Roman"/>
          <w:i/>
          <w:sz w:val="24"/>
        </w:rPr>
        <w:t xml:space="preserve">omily of the </w:t>
      </w:r>
      <w:r w:rsidR="007414CC">
        <w:rPr>
          <w:rFonts w:ascii="Times New Roman" w:hAnsi="Times New Roman" w:cs="Times New Roman"/>
          <w:i/>
          <w:sz w:val="24"/>
        </w:rPr>
        <w:t>s</w:t>
      </w:r>
      <w:r w:rsidR="007414CC" w:rsidRPr="007414CC">
        <w:rPr>
          <w:rFonts w:ascii="Times New Roman" w:hAnsi="Times New Roman" w:cs="Times New Roman"/>
          <w:i/>
          <w:sz w:val="24"/>
        </w:rPr>
        <w:t>tate of matrimony</w:t>
      </w:r>
      <w:r w:rsidR="003F6CF8">
        <w:rPr>
          <w:rFonts w:ascii="Times New Roman" w:hAnsi="Times New Roman" w:cs="Times New Roman"/>
          <w:sz w:val="24"/>
        </w:rPr>
        <w:t xml:space="preserve"> </w:t>
      </w:r>
      <w:r w:rsidR="00163EAC">
        <w:rPr>
          <w:rFonts w:ascii="Times New Roman" w:hAnsi="Times New Roman" w:cs="Times New Roman"/>
          <w:sz w:val="24"/>
        </w:rPr>
        <w:t>(</w:t>
      </w:r>
      <w:r w:rsidR="003F6CF8">
        <w:rPr>
          <w:rFonts w:ascii="Times New Roman" w:hAnsi="Times New Roman" w:cs="Times New Roman"/>
          <w:sz w:val="24"/>
        </w:rPr>
        <w:t>1563</w:t>
      </w:r>
      <w:r w:rsidR="00163EAC">
        <w:rPr>
          <w:rFonts w:ascii="Times New Roman" w:hAnsi="Times New Roman" w:cs="Times New Roman"/>
          <w:sz w:val="24"/>
        </w:rPr>
        <w:t>)</w:t>
      </w:r>
      <w:r w:rsidR="00D871E5">
        <w:rPr>
          <w:rFonts w:ascii="Times New Roman" w:hAnsi="Times New Roman" w:cs="Times New Roman"/>
          <w:sz w:val="24"/>
        </w:rPr>
        <w:t xml:space="preserve"> </w:t>
      </w:r>
      <w:r w:rsidR="007414CC">
        <w:rPr>
          <w:rFonts w:ascii="Times New Roman" w:hAnsi="Times New Roman" w:cs="Times New Roman"/>
          <w:sz w:val="24"/>
        </w:rPr>
        <w:t>quot</w:t>
      </w:r>
      <w:r w:rsidR="00D871E5">
        <w:rPr>
          <w:rFonts w:ascii="Times New Roman" w:hAnsi="Times New Roman" w:cs="Times New Roman"/>
          <w:sz w:val="24"/>
        </w:rPr>
        <w:t>es</w:t>
      </w:r>
      <w:r w:rsidR="007414CC">
        <w:rPr>
          <w:rFonts w:ascii="Times New Roman" w:hAnsi="Times New Roman" w:cs="Times New Roman"/>
          <w:sz w:val="24"/>
        </w:rPr>
        <w:t xml:space="preserve"> 1 Peter 3: ‘You wives, be you in subjection to obey your own husbands.’</w:t>
      </w:r>
      <w:r w:rsidR="007414CC">
        <w:rPr>
          <w:rStyle w:val="FootnoteReference"/>
          <w:rFonts w:ascii="Times New Roman" w:hAnsi="Times New Roman" w:cs="Times New Roman"/>
          <w:sz w:val="24"/>
        </w:rPr>
        <w:footnoteReference w:id="18"/>
      </w:r>
      <w:r w:rsidR="003F6CF8">
        <w:rPr>
          <w:rFonts w:ascii="Times New Roman" w:hAnsi="Times New Roman" w:cs="Times New Roman"/>
          <w:sz w:val="24"/>
        </w:rPr>
        <w:t xml:space="preserve"> Thomas </w:t>
      </w:r>
      <w:proofErr w:type="spellStart"/>
      <w:r w:rsidR="003F6CF8">
        <w:rPr>
          <w:rFonts w:ascii="Times New Roman" w:hAnsi="Times New Roman" w:cs="Times New Roman"/>
          <w:sz w:val="24"/>
        </w:rPr>
        <w:t>Becon’s</w:t>
      </w:r>
      <w:proofErr w:type="spellEnd"/>
      <w:r w:rsidR="003F6CF8">
        <w:rPr>
          <w:rFonts w:ascii="Times New Roman" w:hAnsi="Times New Roman" w:cs="Times New Roman"/>
          <w:sz w:val="24"/>
        </w:rPr>
        <w:t xml:space="preserve"> </w:t>
      </w:r>
      <w:r w:rsidR="003F6CF8" w:rsidRPr="00D5365B">
        <w:rPr>
          <w:rFonts w:ascii="Times New Roman" w:hAnsi="Times New Roman" w:cs="Times New Roman"/>
          <w:i/>
          <w:sz w:val="24"/>
        </w:rPr>
        <w:t>Catechism</w:t>
      </w:r>
      <w:r w:rsidR="00BF52F0">
        <w:rPr>
          <w:rFonts w:ascii="Times New Roman" w:hAnsi="Times New Roman" w:cs="Times New Roman"/>
          <w:sz w:val="24"/>
        </w:rPr>
        <w:t xml:space="preserve"> (1564) </w:t>
      </w:r>
      <w:r w:rsidR="000B7718">
        <w:rPr>
          <w:rFonts w:ascii="Times New Roman" w:hAnsi="Times New Roman" w:cs="Times New Roman"/>
          <w:sz w:val="24"/>
        </w:rPr>
        <w:t>also</w:t>
      </w:r>
      <w:r w:rsidR="003F6CF8">
        <w:rPr>
          <w:rFonts w:ascii="Times New Roman" w:hAnsi="Times New Roman" w:cs="Times New Roman"/>
          <w:sz w:val="24"/>
        </w:rPr>
        <w:t xml:space="preserve"> sets down that ‘the </w:t>
      </w:r>
      <w:proofErr w:type="spellStart"/>
      <w:r w:rsidR="003F6CF8">
        <w:rPr>
          <w:rFonts w:ascii="Times New Roman" w:hAnsi="Times New Roman" w:cs="Times New Roman"/>
          <w:sz w:val="24"/>
        </w:rPr>
        <w:t>f</w:t>
      </w:r>
      <w:r w:rsidR="00095C3A">
        <w:rPr>
          <w:rFonts w:ascii="Times New Roman" w:hAnsi="Times New Roman" w:cs="Times New Roman"/>
          <w:sz w:val="24"/>
        </w:rPr>
        <w:t>y</w:t>
      </w:r>
      <w:r w:rsidR="003F6CF8">
        <w:rPr>
          <w:rFonts w:ascii="Times New Roman" w:hAnsi="Times New Roman" w:cs="Times New Roman"/>
          <w:sz w:val="24"/>
        </w:rPr>
        <w:t>rst</w:t>
      </w:r>
      <w:proofErr w:type="spellEnd"/>
      <w:r w:rsidR="003F6CF8">
        <w:rPr>
          <w:rFonts w:ascii="Times New Roman" w:hAnsi="Times New Roman" w:cs="Times New Roman"/>
          <w:sz w:val="24"/>
        </w:rPr>
        <w:t xml:space="preserve"> [duty of a wife] is that she submit herself to the </w:t>
      </w:r>
      <w:proofErr w:type="spellStart"/>
      <w:r w:rsidR="003F6CF8">
        <w:rPr>
          <w:rFonts w:ascii="Times New Roman" w:hAnsi="Times New Roman" w:cs="Times New Roman"/>
          <w:sz w:val="24"/>
        </w:rPr>
        <w:t>wil</w:t>
      </w:r>
      <w:proofErr w:type="spellEnd"/>
      <w:r w:rsidR="003F6CF8">
        <w:rPr>
          <w:rFonts w:ascii="Times New Roman" w:hAnsi="Times New Roman" w:cs="Times New Roman"/>
          <w:sz w:val="24"/>
        </w:rPr>
        <w:t xml:space="preserve"> of her husband…’</w:t>
      </w:r>
      <w:r w:rsidR="003F6CF8">
        <w:rPr>
          <w:rStyle w:val="FootnoteReference"/>
          <w:rFonts w:ascii="Times New Roman" w:hAnsi="Times New Roman" w:cs="Times New Roman"/>
          <w:sz w:val="24"/>
        </w:rPr>
        <w:footnoteReference w:id="19"/>
      </w:r>
      <w:r w:rsidR="003F6CF8">
        <w:rPr>
          <w:rFonts w:ascii="Times New Roman" w:hAnsi="Times New Roman" w:cs="Times New Roman"/>
          <w:sz w:val="24"/>
        </w:rPr>
        <w:t xml:space="preserve"> One of the chief elements involved in the subjection of a wife to her husband is that she should stand by him regardless of his faults, spiritual or worldly. Samuel Rowland’s poem </w:t>
      </w:r>
      <w:r w:rsidR="003F6CF8">
        <w:rPr>
          <w:rFonts w:ascii="Times New Roman" w:hAnsi="Times New Roman" w:cs="Times New Roman"/>
          <w:i/>
          <w:sz w:val="24"/>
        </w:rPr>
        <w:t>The Bride</w:t>
      </w:r>
      <w:r w:rsidR="003F6CF8">
        <w:rPr>
          <w:rFonts w:ascii="Times New Roman" w:hAnsi="Times New Roman" w:cs="Times New Roman"/>
          <w:sz w:val="24"/>
        </w:rPr>
        <w:t xml:space="preserve"> </w:t>
      </w:r>
      <w:r w:rsidR="00D14D57">
        <w:rPr>
          <w:rFonts w:ascii="Times New Roman" w:hAnsi="Times New Roman" w:cs="Times New Roman"/>
          <w:sz w:val="24"/>
        </w:rPr>
        <w:t xml:space="preserve">(1617) </w:t>
      </w:r>
      <w:r w:rsidR="003F6CF8">
        <w:rPr>
          <w:rFonts w:ascii="Times New Roman" w:hAnsi="Times New Roman" w:cs="Times New Roman"/>
          <w:sz w:val="24"/>
        </w:rPr>
        <w:t xml:space="preserve">ends with an exhortation </w:t>
      </w:r>
      <w:r w:rsidR="00FB3019">
        <w:rPr>
          <w:rFonts w:ascii="Times New Roman" w:hAnsi="Times New Roman" w:cs="Times New Roman"/>
          <w:sz w:val="24"/>
        </w:rPr>
        <w:t>to wives to</w:t>
      </w:r>
    </w:p>
    <w:p w14:paraId="0EDF80FC" w14:textId="3619AC6F" w:rsidR="00FB3019" w:rsidRDefault="00FB3019" w:rsidP="002D58FB">
      <w:pPr>
        <w:spacing w:line="240" w:lineRule="auto"/>
        <w:ind w:left="720"/>
        <w:jc w:val="both"/>
        <w:rPr>
          <w:rFonts w:ascii="Times New Roman" w:hAnsi="Times New Roman" w:cs="Times New Roman"/>
          <w:sz w:val="24"/>
        </w:rPr>
      </w:pPr>
      <w:r>
        <w:rPr>
          <w:rFonts w:ascii="Times New Roman" w:hAnsi="Times New Roman" w:cs="Times New Roman"/>
          <w:sz w:val="24"/>
        </w:rPr>
        <w:lastRenderedPageBreak/>
        <w:t xml:space="preserve">…love and </w:t>
      </w:r>
      <w:proofErr w:type="spellStart"/>
      <w:r>
        <w:rPr>
          <w:rFonts w:ascii="Times New Roman" w:hAnsi="Times New Roman" w:cs="Times New Roman"/>
          <w:sz w:val="24"/>
        </w:rPr>
        <w:t>chief</w:t>
      </w:r>
      <w:r w:rsidR="00095C3A">
        <w:rPr>
          <w:rFonts w:ascii="Times New Roman" w:hAnsi="Times New Roman" w:cs="Times New Roman"/>
          <w:sz w:val="24"/>
        </w:rPr>
        <w:t>e</w:t>
      </w:r>
      <w:proofErr w:type="spellEnd"/>
      <w:r>
        <w:rPr>
          <w:rFonts w:ascii="Times New Roman" w:hAnsi="Times New Roman" w:cs="Times New Roman"/>
          <w:sz w:val="24"/>
        </w:rPr>
        <w:t xml:space="preserve"> regard to husbands honour,</w:t>
      </w:r>
    </w:p>
    <w:p w14:paraId="2F63EB8F" w14:textId="6799DF97" w:rsidR="00FB3019" w:rsidRDefault="00FB3019"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Which if at true affection it </w:t>
      </w:r>
      <w:proofErr w:type="spellStart"/>
      <w:r>
        <w:rPr>
          <w:rFonts w:ascii="Times New Roman" w:hAnsi="Times New Roman" w:cs="Times New Roman"/>
          <w:sz w:val="24"/>
        </w:rPr>
        <w:t>beg</w:t>
      </w:r>
      <w:r w:rsidR="00095C3A">
        <w:rPr>
          <w:rFonts w:ascii="Times New Roman" w:hAnsi="Times New Roman" w:cs="Times New Roman"/>
          <w:sz w:val="24"/>
        </w:rPr>
        <w:t>unne</w:t>
      </w:r>
      <w:proofErr w:type="spellEnd"/>
      <w:r w:rsidR="00095C3A">
        <w:rPr>
          <w:rFonts w:ascii="Times New Roman" w:hAnsi="Times New Roman" w:cs="Times New Roman"/>
          <w:sz w:val="24"/>
        </w:rPr>
        <w:t>:</w:t>
      </w:r>
    </w:p>
    <w:p w14:paraId="2750A6A4" w14:textId="304C1ABA" w:rsidR="00FB3019" w:rsidRDefault="00FB3019"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Then be he </w:t>
      </w:r>
      <w:proofErr w:type="spellStart"/>
      <w:r>
        <w:rPr>
          <w:rFonts w:ascii="Times New Roman" w:hAnsi="Times New Roman" w:cs="Times New Roman"/>
          <w:sz w:val="24"/>
        </w:rPr>
        <w:t>poor</w:t>
      </w:r>
      <w:r w:rsidR="00095C3A">
        <w:rPr>
          <w:rFonts w:ascii="Times New Roman" w:hAnsi="Times New Roman" w:cs="Times New Roman"/>
          <w:sz w:val="24"/>
        </w:rPr>
        <w:t>e</w:t>
      </w:r>
      <w:proofErr w:type="spellEnd"/>
      <w:r>
        <w:rPr>
          <w:rFonts w:ascii="Times New Roman" w:hAnsi="Times New Roman" w:cs="Times New Roman"/>
          <w:sz w:val="24"/>
        </w:rPr>
        <w:t xml:space="preserve"> or </w:t>
      </w:r>
      <w:proofErr w:type="spellStart"/>
      <w:r>
        <w:rPr>
          <w:rFonts w:ascii="Times New Roman" w:hAnsi="Times New Roman" w:cs="Times New Roman"/>
          <w:sz w:val="24"/>
        </w:rPr>
        <w:t>sick</w:t>
      </w:r>
      <w:r w:rsidR="00095C3A">
        <w:rPr>
          <w:rFonts w:ascii="Times New Roman" w:hAnsi="Times New Roman" w:cs="Times New Roman"/>
          <w:sz w:val="24"/>
        </w:rPr>
        <w:t>e</w:t>
      </w:r>
      <w:proofErr w:type="spellEnd"/>
      <w:r>
        <w:rPr>
          <w:rFonts w:ascii="Times New Roman" w:hAnsi="Times New Roman" w:cs="Times New Roman"/>
          <w:sz w:val="24"/>
        </w:rPr>
        <w:t xml:space="preserve">, or in </w:t>
      </w:r>
      <w:proofErr w:type="spellStart"/>
      <w:r>
        <w:rPr>
          <w:rFonts w:ascii="Times New Roman" w:hAnsi="Times New Roman" w:cs="Times New Roman"/>
          <w:sz w:val="24"/>
        </w:rPr>
        <w:t>distress</w:t>
      </w:r>
      <w:r w:rsidR="00095C3A">
        <w:rPr>
          <w:rFonts w:ascii="Times New Roman" w:hAnsi="Times New Roman" w:cs="Times New Roman"/>
          <w:sz w:val="24"/>
        </w:rPr>
        <w:t>e</w:t>
      </w:r>
      <w:proofErr w:type="spellEnd"/>
      <w:r>
        <w:rPr>
          <w:rFonts w:ascii="Times New Roman" w:hAnsi="Times New Roman" w:cs="Times New Roman"/>
          <w:sz w:val="24"/>
        </w:rPr>
        <w:t>,</w:t>
      </w:r>
    </w:p>
    <w:p w14:paraId="5C15A550" w14:textId="65758418" w:rsidR="00350208" w:rsidRDefault="00FB3019" w:rsidP="002D58FB">
      <w:pPr>
        <w:spacing w:line="240" w:lineRule="auto"/>
        <w:ind w:left="720"/>
        <w:jc w:val="both"/>
        <w:rPr>
          <w:rFonts w:ascii="Times New Roman" w:hAnsi="Times New Roman" w:cs="Times New Roman"/>
          <w:sz w:val="24"/>
        </w:rPr>
      </w:pPr>
      <w:r>
        <w:rPr>
          <w:rFonts w:ascii="Times New Roman" w:hAnsi="Times New Roman" w:cs="Times New Roman"/>
          <w:sz w:val="24"/>
        </w:rPr>
        <w:t>S</w:t>
      </w:r>
      <w:r w:rsidR="00095C3A">
        <w:rPr>
          <w:rFonts w:ascii="Times New Roman" w:hAnsi="Times New Roman" w:cs="Times New Roman"/>
          <w:sz w:val="24"/>
        </w:rPr>
        <w:t>e</w:t>
      </w:r>
      <w:r>
        <w:rPr>
          <w:rFonts w:ascii="Times New Roman" w:hAnsi="Times New Roman" w:cs="Times New Roman"/>
          <w:sz w:val="24"/>
        </w:rPr>
        <w:t xml:space="preserve">e still </w:t>
      </w:r>
      <w:proofErr w:type="spellStart"/>
      <w:r>
        <w:rPr>
          <w:rFonts w:ascii="Times New Roman" w:hAnsi="Times New Roman" w:cs="Times New Roman"/>
          <w:sz w:val="24"/>
        </w:rPr>
        <w:t>remain</w:t>
      </w:r>
      <w:r w:rsidR="00095C3A">
        <w:rPr>
          <w:rFonts w:ascii="Times New Roman" w:hAnsi="Times New Roman" w:cs="Times New Roman"/>
          <w:sz w:val="24"/>
        </w:rPr>
        <w:t>e</w:t>
      </w:r>
      <w:r>
        <w:rPr>
          <w:rFonts w:ascii="Times New Roman" w:hAnsi="Times New Roman" w:cs="Times New Roman"/>
          <w:sz w:val="24"/>
        </w:rPr>
        <w:t>s</w:t>
      </w:r>
      <w:proofErr w:type="spellEnd"/>
      <w:r>
        <w:rPr>
          <w:rFonts w:ascii="Times New Roman" w:hAnsi="Times New Roman" w:cs="Times New Roman"/>
          <w:sz w:val="24"/>
        </w:rPr>
        <w:t xml:space="preserve"> most </w:t>
      </w:r>
      <w:proofErr w:type="spellStart"/>
      <w:r>
        <w:rPr>
          <w:rFonts w:ascii="Times New Roman" w:hAnsi="Times New Roman" w:cs="Times New Roman"/>
          <w:sz w:val="24"/>
        </w:rPr>
        <w:t>firm</w:t>
      </w:r>
      <w:r w:rsidR="00095C3A">
        <w:rPr>
          <w:rFonts w:ascii="Times New Roman" w:hAnsi="Times New Roman" w:cs="Times New Roman"/>
          <w:sz w:val="24"/>
        </w:rPr>
        <w:t>e</w:t>
      </w:r>
      <w:proofErr w:type="spellEnd"/>
      <w:r>
        <w:rPr>
          <w:rFonts w:ascii="Times New Roman" w:hAnsi="Times New Roman" w:cs="Times New Roman"/>
          <w:sz w:val="24"/>
        </w:rPr>
        <w:t xml:space="preserve"> in </w:t>
      </w:r>
      <w:proofErr w:type="spellStart"/>
      <w:r>
        <w:rPr>
          <w:rFonts w:ascii="Times New Roman" w:hAnsi="Times New Roman" w:cs="Times New Roman"/>
          <w:sz w:val="24"/>
        </w:rPr>
        <w:t>faithfulness</w:t>
      </w:r>
      <w:r w:rsidR="00095C3A">
        <w:rPr>
          <w:rFonts w:ascii="Times New Roman" w:hAnsi="Times New Roman" w:cs="Times New Roman"/>
          <w:sz w:val="24"/>
        </w:rPr>
        <w:t>e</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20"/>
      </w:r>
    </w:p>
    <w:p w14:paraId="2C42F265" w14:textId="07389BA9" w:rsidR="00BF085E" w:rsidRDefault="00FB599E" w:rsidP="002D58FB">
      <w:pPr>
        <w:spacing w:line="240" w:lineRule="auto"/>
        <w:jc w:val="both"/>
        <w:rPr>
          <w:rFonts w:ascii="Times New Roman" w:hAnsi="Times New Roman" w:cs="Times New Roman"/>
          <w:sz w:val="24"/>
        </w:rPr>
      </w:pPr>
      <w:r>
        <w:rPr>
          <w:rFonts w:ascii="Times New Roman" w:hAnsi="Times New Roman" w:cs="Times New Roman"/>
          <w:sz w:val="24"/>
        </w:rPr>
        <w:t xml:space="preserve">Similarly, Henry Smith’s </w:t>
      </w:r>
      <w:r>
        <w:rPr>
          <w:rFonts w:ascii="Times New Roman" w:hAnsi="Times New Roman" w:cs="Times New Roman"/>
          <w:i/>
          <w:sz w:val="24"/>
        </w:rPr>
        <w:t>A Preparative to Marriage</w:t>
      </w:r>
      <w:r>
        <w:rPr>
          <w:rFonts w:ascii="Times New Roman" w:hAnsi="Times New Roman" w:cs="Times New Roman"/>
          <w:sz w:val="24"/>
        </w:rPr>
        <w:t xml:space="preserve"> </w:t>
      </w:r>
      <w:r w:rsidR="00BF085E">
        <w:rPr>
          <w:rFonts w:ascii="Times New Roman" w:hAnsi="Times New Roman" w:cs="Times New Roman"/>
          <w:sz w:val="24"/>
        </w:rPr>
        <w:t>(</w:t>
      </w:r>
      <w:r>
        <w:rPr>
          <w:rFonts w:ascii="Times New Roman" w:hAnsi="Times New Roman" w:cs="Times New Roman"/>
          <w:sz w:val="24"/>
        </w:rPr>
        <w:t>1591</w:t>
      </w:r>
      <w:r w:rsidR="00BF085E">
        <w:rPr>
          <w:rFonts w:ascii="Times New Roman" w:hAnsi="Times New Roman" w:cs="Times New Roman"/>
          <w:sz w:val="24"/>
        </w:rPr>
        <w:t>)</w:t>
      </w:r>
      <w:r>
        <w:rPr>
          <w:rFonts w:ascii="Times New Roman" w:hAnsi="Times New Roman" w:cs="Times New Roman"/>
          <w:sz w:val="24"/>
        </w:rPr>
        <w:t>, demands that a wife be her husband’s ‘yoke</w:t>
      </w:r>
      <w:r w:rsidR="000275D1">
        <w:rPr>
          <w:rFonts w:ascii="Times New Roman" w:hAnsi="Times New Roman" w:cs="Times New Roman"/>
          <w:sz w:val="24"/>
        </w:rPr>
        <w:t xml:space="preserve"> </w:t>
      </w:r>
      <w:proofErr w:type="spellStart"/>
      <w:r>
        <w:rPr>
          <w:rFonts w:ascii="Times New Roman" w:hAnsi="Times New Roman" w:cs="Times New Roman"/>
          <w:sz w:val="24"/>
        </w:rPr>
        <w:t>fellow</w:t>
      </w:r>
      <w:r w:rsidR="000275D1">
        <w:rPr>
          <w:rFonts w:ascii="Times New Roman" w:hAnsi="Times New Roman" w:cs="Times New Roman"/>
          <w:sz w:val="24"/>
        </w:rPr>
        <w:t>e</w:t>
      </w:r>
      <w:proofErr w:type="spellEnd"/>
      <w:r>
        <w:rPr>
          <w:rFonts w:ascii="Times New Roman" w:hAnsi="Times New Roman" w:cs="Times New Roman"/>
          <w:sz w:val="24"/>
        </w:rPr>
        <w:t xml:space="preserve">’, making ‘his </w:t>
      </w:r>
      <w:proofErr w:type="spellStart"/>
      <w:r>
        <w:rPr>
          <w:rFonts w:ascii="Times New Roman" w:hAnsi="Times New Roman" w:cs="Times New Roman"/>
          <w:sz w:val="24"/>
        </w:rPr>
        <w:t>grief</w:t>
      </w:r>
      <w:r w:rsidR="007E346E">
        <w:rPr>
          <w:rFonts w:ascii="Times New Roman" w:hAnsi="Times New Roman" w:cs="Times New Roman"/>
          <w:sz w:val="24"/>
        </w:rPr>
        <w:t>e</w:t>
      </w:r>
      <w:proofErr w:type="spellEnd"/>
      <w:r>
        <w:rPr>
          <w:rFonts w:ascii="Times New Roman" w:hAnsi="Times New Roman" w:cs="Times New Roman"/>
          <w:sz w:val="24"/>
        </w:rPr>
        <w:t xml:space="preserve">…her </w:t>
      </w:r>
      <w:proofErr w:type="spellStart"/>
      <w:r>
        <w:rPr>
          <w:rFonts w:ascii="Times New Roman" w:hAnsi="Times New Roman" w:cs="Times New Roman"/>
          <w:sz w:val="24"/>
        </w:rPr>
        <w:t>grief</w:t>
      </w:r>
      <w:r w:rsidR="007E346E">
        <w:rPr>
          <w:rFonts w:ascii="Times New Roman" w:hAnsi="Times New Roman" w:cs="Times New Roman"/>
          <w:sz w:val="24"/>
        </w:rPr>
        <w:t>e</w:t>
      </w:r>
      <w:proofErr w:type="spellEnd"/>
      <w:r>
        <w:rPr>
          <w:rFonts w:ascii="Times New Roman" w:hAnsi="Times New Roman" w:cs="Times New Roman"/>
          <w:sz w:val="24"/>
        </w:rPr>
        <w:t xml:space="preserve">; and whether it be the yoke of </w:t>
      </w:r>
      <w:proofErr w:type="spellStart"/>
      <w:r>
        <w:rPr>
          <w:rFonts w:ascii="Times New Roman" w:hAnsi="Times New Roman" w:cs="Times New Roman"/>
          <w:sz w:val="24"/>
        </w:rPr>
        <w:t>po</w:t>
      </w:r>
      <w:r w:rsidR="007E346E">
        <w:rPr>
          <w:rFonts w:ascii="Times New Roman" w:hAnsi="Times New Roman" w:cs="Times New Roman"/>
          <w:sz w:val="24"/>
        </w:rPr>
        <w:t>u</w:t>
      </w:r>
      <w:r>
        <w:rPr>
          <w:rFonts w:ascii="Times New Roman" w:hAnsi="Times New Roman" w:cs="Times New Roman"/>
          <w:sz w:val="24"/>
        </w:rPr>
        <w:t>ert</w:t>
      </w:r>
      <w:r w:rsidR="007E346E">
        <w:rPr>
          <w:rFonts w:ascii="Times New Roman" w:hAnsi="Times New Roman" w:cs="Times New Roman"/>
          <w:sz w:val="24"/>
        </w:rPr>
        <w:t>ie</w:t>
      </w:r>
      <w:proofErr w:type="spellEnd"/>
      <w:r>
        <w:rPr>
          <w:rFonts w:ascii="Times New Roman" w:hAnsi="Times New Roman" w:cs="Times New Roman"/>
          <w:sz w:val="24"/>
        </w:rPr>
        <w:t xml:space="preserve">, or the yoke of </w:t>
      </w:r>
      <w:proofErr w:type="spellStart"/>
      <w:r>
        <w:rPr>
          <w:rFonts w:ascii="Times New Roman" w:hAnsi="Times New Roman" w:cs="Times New Roman"/>
          <w:sz w:val="24"/>
        </w:rPr>
        <w:t>en</w:t>
      </w:r>
      <w:r w:rsidR="007E346E">
        <w:rPr>
          <w:rFonts w:ascii="Times New Roman" w:hAnsi="Times New Roman" w:cs="Times New Roman"/>
          <w:sz w:val="24"/>
        </w:rPr>
        <w:t>uie</w:t>
      </w:r>
      <w:proofErr w:type="spellEnd"/>
      <w:r>
        <w:rPr>
          <w:rFonts w:ascii="Times New Roman" w:hAnsi="Times New Roman" w:cs="Times New Roman"/>
          <w:sz w:val="24"/>
        </w:rPr>
        <w:t xml:space="preserve">, or the yoke of </w:t>
      </w:r>
      <w:proofErr w:type="spellStart"/>
      <w:r>
        <w:rPr>
          <w:rFonts w:ascii="Times New Roman" w:hAnsi="Times New Roman" w:cs="Times New Roman"/>
          <w:sz w:val="24"/>
        </w:rPr>
        <w:t>sick</w:t>
      </w:r>
      <w:r w:rsidR="007E346E">
        <w:rPr>
          <w:rFonts w:ascii="Times New Roman" w:hAnsi="Times New Roman" w:cs="Times New Roman"/>
          <w:sz w:val="24"/>
        </w:rPr>
        <w:t>e</w:t>
      </w:r>
      <w:r>
        <w:rPr>
          <w:rFonts w:ascii="Times New Roman" w:hAnsi="Times New Roman" w:cs="Times New Roman"/>
          <w:sz w:val="24"/>
        </w:rPr>
        <w:t>ness</w:t>
      </w:r>
      <w:r w:rsidR="007E346E">
        <w:rPr>
          <w:rFonts w:ascii="Times New Roman" w:hAnsi="Times New Roman" w:cs="Times New Roman"/>
          <w:sz w:val="24"/>
        </w:rPr>
        <w:t>e</w:t>
      </w:r>
      <w:proofErr w:type="spellEnd"/>
      <w:r>
        <w:rPr>
          <w:rFonts w:ascii="Times New Roman" w:hAnsi="Times New Roman" w:cs="Times New Roman"/>
          <w:sz w:val="24"/>
        </w:rPr>
        <w:t xml:space="preserve">, or the yoke of imprisonment, she must submit her </w:t>
      </w:r>
      <w:proofErr w:type="spellStart"/>
      <w:r>
        <w:rPr>
          <w:rFonts w:ascii="Times New Roman" w:hAnsi="Times New Roman" w:cs="Times New Roman"/>
          <w:sz w:val="24"/>
        </w:rPr>
        <w:t>neck</w:t>
      </w:r>
      <w:r w:rsidR="007E346E">
        <w:rPr>
          <w:rFonts w:ascii="Times New Roman" w:hAnsi="Times New Roman" w:cs="Times New Roman"/>
          <w:sz w:val="24"/>
        </w:rPr>
        <w:t>e</w:t>
      </w:r>
      <w:proofErr w:type="spellEnd"/>
      <w:r>
        <w:rPr>
          <w:rFonts w:ascii="Times New Roman" w:hAnsi="Times New Roman" w:cs="Times New Roman"/>
          <w:sz w:val="24"/>
        </w:rPr>
        <w:t xml:space="preserve"> to </w:t>
      </w:r>
      <w:proofErr w:type="spellStart"/>
      <w:r>
        <w:rPr>
          <w:rFonts w:ascii="Times New Roman" w:hAnsi="Times New Roman" w:cs="Times New Roman"/>
          <w:sz w:val="24"/>
        </w:rPr>
        <w:t>bear</w:t>
      </w:r>
      <w:r w:rsidR="007E346E">
        <w:rPr>
          <w:rFonts w:ascii="Times New Roman" w:hAnsi="Times New Roman" w:cs="Times New Roman"/>
          <w:sz w:val="24"/>
        </w:rPr>
        <w:t>e</w:t>
      </w:r>
      <w:proofErr w:type="spellEnd"/>
      <w:r>
        <w:rPr>
          <w:rFonts w:ascii="Times New Roman" w:hAnsi="Times New Roman" w:cs="Times New Roman"/>
          <w:sz w:val="24"/>
        </w:rPr>
        <w:t xml:space="preserve"> it </w:t>
      </w:r>
      <w:proofErr w:type="spellStart"/>
      <w:r>
        <w:rPr>
          <w:rFonts w:ascii="Times New Roman" w:hAnsi="Times New Roman" w:cs="Times New Roman"/>
          <w:sz w:val="24"/>
        </w:rPr>
        <w:t>pa</w:t>
      </w:r>
      <w:r w:rsidR="007E346E">
        <w:rPr>
          <w:rFonts w:ascii="Times New Roman" w:hAnsi="Times New Roman" w:cs="Times New Roman"/>
          <w:sz w:val="24"/>
        </w:rPr>
        <w:t>c</w:t>
      </w:r>
      <w:r>
        <w:rPr>
          <w:rFonts w:ascii="Times New Roman" w:hAnsi="Times New Roman" w:cs="Times New Roman"/>
          <w:sz w:val="24"/>
        </w:rPr>
        <w:t>ientl</w:t>
      </w:r>
      <w:r w:rsidR="007E346E">
        <w:rPr>
          <w:rFonts w:ascii="Times New Roman" w:hAnsi="Times New Roman" w:cs="Times New Roman"/>
          <w:sz w:val="24"/>
        </w:rPr>
        <w:t>ie</w:t>
      </w:r>
      <w:proofErr w:type="spellEnd"/>
      <w:r>
        <w:rPr>
          <w:rFonts w:ascii="Times New Roman" w:hAnsi="Times New Roman" w:cs="Times New Roman"/>
          <w:sz w:val="24"/>
        </w:rPr>
        <w:t xml:space="preserve"> with him…’</w:t>
      </w:r>
      <w:r>
        <w:rPr>
          <w:rStyle w:val="FootnoteReference"/>
          <w:rFonts w:ascii="Times New Roman" w:hAnsi="Times New Roman" w:cs="Times New Roman"/>
          <w:sz w:val="24"/>
        </w:rPr>
        <w:footnoteReference w:id="21"/>
      </w:r>
      <w:r>
        <w:rPr>
          <w:rFonts w:ascii="Times New Roman" w:hAnsi="Times New Roman" w:cs="Times New Roman"/>
          <w:sz w:val="24"/>
        </w:rPr>
        <w:t xml:space="preserve"> The virtue of constant loyalty to one’s husband regardless of circumstances, is thus conceived of as the chief virtue that a wife can have. </w:t>
      </w:r>
    </w:p>
    <w:p w14:paraId="3054FC79" w14:textId="16D9A09C" w:rsidR="00550084" w:rsidRDefault="00FB599E" w:rsidP="002D58FB">
      <w:pPr>
        <w:spacing w:line="240" w:lineRule="auto"/>
        <w:jc w:val="both"/>
        <w:rPr>
          <w:rFonts w:ascii="Times New Roman" w:hAnsi="Times New Roman" w:cs="Times New Roman"/>
          <w:sz w:val="24"/>
        </w:rPr>
      </w:pPr>
      <w:r>
        <w:rPr>
          <w:rFonts w:ascii="Times New Roman" w:hAnsi="Times New Roman" w:cs="Times New Roman"/>
          <w:sz w:val="24"/>
        </w:rPr>
        <w:t>This virtue of constancy was especially emphasised because women were often perceived as being less capable of constancy than men</w:t>
      </w:r>
      <w:r w:rsidR="00F81E08">
        <w:rPr>
          <w:rFonts w:ascii="Times New Roman" w:hAnsi="Times New Roman" w:cs="Times New Roman"/>
          <w:sz w:val="24"/>
        </w:rPr>
        <w:t xml:space="preserve"> due to being overly emotion</w:t>
      </w:r>
      <w:r w:rsidR="00BF52F0">
        <w:rPr>
          <w:rFonts w:ascii="Times New Roman" w:hAnsi="Times New Roman" w:cs="Times New Roman"/>
          <w:sz w:val="24"/>
        </w:rPr>
        <w:t>al</w:t>
      </w:r>
      <w:r>
        <w:rPr>
          <w:rFonts w:ascii="Times New Roman" w:hAnsi="Times New Roman" w:cs="Times New Roman"/>
          <w:sz w:val="24"/>
        </w:rPr>
        <w:t xml:space="preserve">. </w:t>
      </w:r>
      <w:r>
        <w:rPr>
          <w:rFonts w:ascii="Times New Roman" w:hAnsi="Times New Roman" w:cs="Times New Roman"/>
          <w:i/>
          <w:sz w:val="24"/>
        </w:rPr>
        <w:t xml:space="preserve">A homily of the state of matrimony </w:t>
      </w:r>
      <w:r w:rsidR="00A84990">
        <w:rPr>
          <w:rFonts w:ascii="Times New Roman" w:hAnsi="Times New Roman" w:cs="Times New Roman"/>
          <w:sz w:val="24"/>
        </w:rPr>
        <w:t>stresses th</w:t>
      </w:r>
      <w:r w:rsidR="00BF085E">
        <w:rPr>
          <w:rFonts w:ascii="Times New Roman" w:hAnsi="Times New Roman" w:cs="Times New Roman"/>
          <w:sz w:val="24"/>
        </w:rPr>
        <w:t>is</w:t>
      </w:r>
      <w:r w:rsidR="00A84990">
        <w:rPr>
          <w:rFonts w:ascii="Times New Roman" w:hAnsi="Times New Roman" w:cs="Times New Roman"/>
          <w:sz w:val="24"/>
        </w:rPr>
        <w:t>: ‘For the woman is a weak creature, not endued with…constancy of mind…she is a weaker vessel, of a frail heart, inconstant, and with a head soon stirred to wrath.’</w:t>
      </w:r>
      <w:r w:rsidR="00A84990">
        <w:rPr>
          <w:rStyle w:val="FootnoteReference"/>
          <w:rFonts w:ascii="Times New Roman" w:hAnsi="Times New Roman" w:cs="Times New Roman"/>
          <w:sz w:val="24"/>
        </w:rPr>
        <w:footnoteReference w:id="22"/>
      </w:r>
      <w:r w:rsidR="00A84990">
        <w:rPr>
          <w:rFonts w:ascii="Times New Roman" w:hAnsi="Times New Roman" w:cs="Times New Roman"/>
          <w:sz w:val="24"/>
        </w:rPr>
        <w:t xml:space="preserve"> John Knox in his </w:t>
      </w:r>
      <w:r w:rsidR="00A84990">
        <w:rPr>
          <w:rFonts w:ascii="Times New Roman" w:hAnsi="Times New Roman" w:cs="Times New Roman"/>
          <w:i/>
          <w:sz w:val="24"/>
        </w:rPr>
        <w:t>The first blast of the trumpet against the monstrous regiment of women</w:t>
      </w:r>
      <w:r w:rsidR="00A84990">
        <w:rPr>
          <w:rFonts w:ascii="Times New Roman" w:hAnsi="Times New Roman" w:cs="Times New Roman"/>
          <w:sz w:val="24"/>
        </w:rPr>
        <w:t xml:space="preserve"> </w:t>
      </w:r>
      <w:r w:rsidR="00163EAC">
        <w:rPr>
          <w:rFonts w:ascii="Times New Roman" w:hAnsi="Times New Roman" w:cs="Times New Roman"/>
          <w:sz w:val="24"/>
        </w:rPr>
        <w:t>(</w:t>
      </w:r>
      <w:r w:rsidR="00A84990">
        <w:rPr>
          <w:rFonts w:ascii="Times New Roman" w:hAnsi="Times New Roman" w:cs="Times New Roman"/>
          <w:sz w:val="24"/>
        </w:rPr>
        <w:t>1558</w:t>
      </w:r>
      <w:r w:rsidR="00163EAC">
        <w:rPr>
          <w:rFonts w:ascii="Times New Roman" w:hAnsi="Times New Roman" w:cs="Times New Roman"/>
          <w:sz w:val="24"/>
        </w:rPr>
        <w:t>)</w:t>
      </w:r>
      <w:r w:rsidR="00A84990">
        <w:rPr>
          <w:rFonts w:ascii="Times New Roman" w:hAnsi="Times New Roman" w:cs="Times New Roman"/>
          <w:sz w:val="24"/>
        </w:rPr>
        <w:t xml:space="preserve"> also emphasises that women are ‘</w:t>
      </w:r>
      <w:proofErr w:type="spellStart"/>
      <w:r w:rsidR="00A84990">
        <w:rPr>
          <w:rFonts w:ascii="Times New Roman" w:hAnsi="Times New Roman" w:cs="Times New Roman"/>
          <w:sz w:val="24"/>
        </w:rPr>
        <w:t>unconstant</w:t>
      </w:r>
      <w:proofErr w:type="spellEnd"/>
      <w:r w:rsidR="00A84990">
        <w:rPr>
          <w:rFonts w:ascii="Times New Roman" w:hAnsi="Times New Roman" w:cs="Times New Roman"/>
          <w:sz w:val="24"/>
        </w:rPr>
        <w:t xml:space="preserve">, variable, </w:t>
      </w:r>
      <w:proofErr w:type="spellStart"/>
      <w:r w:rsidR="00A84990">
        <w:rPr>
          <w:rFonts w:ascii="Times New Roman" w:hAnsi="Times New Roman" w:cs="Times New Roman"/>
          <w:sz w:val="24"/>
        </w:rPr>
        <w:t>crue</w:t>
      </w:r>
      <w:r w:rsidR="007E346E">
        <w:rPr>
          <w:rFonts w:ascii="Times New Roman" w:hAnsi="Times New Roman" w:cs="Times New Roman"/>
          <w:sz w:val="24"/>
        </w:rPr>
        <w:t>l</w:t>
      </w:r>
      <w:r w:rsidR="00A84990">
        <w:rPr>
          <w:rFonts w:ascii="Times New Roman" w:hAnsi="Times New Roman" w:cs="Times New Roman"/>
          <w:sz w:val="24"/>
        </w:rPr>
        <w:t>l</w:t>
      </w:r>
      <w:proofErr w:type="spellEnd"/>
      <w:r w:rsidR="00A84990">
        <w:rPr>
          <w:rFonts w:ascii="Times New Roman" w:hAnsi="Times New Roman" w:cs="Times New Roman"/>
          <w:sz w:val="24"/>
        </w:rPr>
        <w:t>, and lacking the spirit of counsel and regime</w:t>
      </w:r>
      <w:r w:rsidR="00A46CCB">
        <w:rPr>
          <w:rFonts w:ascii="Times New Roman" w:hAnsi="Times New Roman" w:cs="Times New Roman"/>
          <w:sz w:val="24"/>
        </w:rPr>
        <w:t>n</w:t>
      </w:r>
      <w:r w:rsidR="00A84990">
        <w:rPr>
          <w:rFonts w:ascii="Times New Roman" w:hAnsi="Times New Roman" w:cs="Times New Roman"/>
          <w:sz w:val="24"/>
        </w:rPr>
        <w:t>t.’</w:t>
      </w:r>
      <w:r w:rsidR="00A84990">
        <w:rPr>
          <w:rStyle w:val="FootnoteReference"/>
          <w:rFonts w:ascii="Times New Roman" w:hAnsi="Times New Roman" w:cs="Times New Roman"/>
          <w:sz w:val="24"/>
        </w:rPr>
        <w:footnoteReference w:id="23"/>
      </w:r>
      <w:r w:rsidR="00A84990">
        <w:rPr>
          <w:rFonts w:ascii="Times New Roman" w:hAnsi="Times New Roman" w:cs="Times New Roman"/>
          <w:sz w:val="24"/>
        </w:rPr>
        <w:t xml:space="preserve"> Thomas Elyot’s </w:t>
      </w:r>
      <w:r w:rsidR="00A84990">
        <w:rPr>
          <w:rFonts w:ascii="Times New Roman" w:hAnsi="Times New Roman" w:cs="Times New Roman"/>
          <w:i/>
          <w:sz w:val="24"/>
        </w:rPr>
        <w:t>The Boke named The Governor</w:t>
      </w:r>
      <w:r w:rsidR="00A84990">
        <w:rPr>
          <w:rFonts w:ascii="Times New Roman" w:hAnsi="Times New Roman" w:cs="Times New Roman"/>
          <w:sz w:val="24"/>
        </w:rPr>
        <w:t xml:space="preserve"> </w:t>
      </w:r>
      <w:r w:rsidR="00C56844">
        <w:rPr>
          <w:rFonts w:ascii="Times New Roman" w:hAnsi="Times New Roman" w:cs="Times New Roman"/>
          <w:sz w:val="24"/>
        </w:rPr>
        <w:t xml:space="preserve">(1531) </w:t>
      </w:r>
      <w:r w:rsidR="00A84990">
        <w:rPr>
          <w:rFonts w:ascii="Times New Roman" w:hAnsi="Times New Roman" w:cs="Times New Roman"/>
          <w:sz w:val="24"/>
        </w:rPr>
        <w:t>gives some credit to ‘women nowadays’ who can sometimes</w:t>
      </w:r>
      <w:r w:rsidR="00C83498">
        <w:rPr>
          <w:rFonts w:ascii="Times New Roman" w:hAnsi="Times New Roman" w:cs="Times New Roman"/>
          <w:sz w:val="24"/>
        </w:rPr>
        <w:t xml:space="preserve"> be</w:t>
      </w:r>
      <w:r w:rsidR="00A84990">
        <w:rPr>
          <w:rFonts w:ascii="Times New Roman" w:hAnsi="Times New Roman" w:cs="Times New Roman"/>
          <w:sz w:val="24"/>
        </w:rPr>
        <w:t xml:space="preserve"> found to be more constant than men, but does also emphasise the natural inconstancy of women, comparing them to children.</w:t>
      </w:r>
      <w:r w:rsidR="00A84990">
        <w:rPr>
          <w:rStyle w:val="FootnoteReference"/>
          <w:rFonts w:ascii="Times New Roman" w:hAnsi="Times New Roman" w:cs="Times New Roman"/>
          <w:sz w:val="24"/>
        </w:rPr>
        <w:footnoteReference w:id="24"/>
      </w:r>
      <w:r w:rsidR="00762F00">
        <w:rPr>
          <w:rFonts w:ascii="Times New Roman" w:hAnsi="Times New Roman" w:cs="Times New Roman"/>
          <w:sz w:val="24"/>
        </w:rPr>
        <w:t xml:space="preserve"> Women’s supposed weakness with regards to constancy, therefore, </w:t>
      </w:r>
      <w:r w:rsidR="008A7FC8">
        <w:rPr>
          <w:rFonts w:ascii="Times New Roman" w:hAnsi="Times New Roman" w:cs="Times New Roman"/>
          <w:sz w:val="24"/>
        </w:rPr>
        <w:t>wa</w:t>
      </w:r>
      <w:r w:rsidR="00762F00">
        <w:rPr>
          <w:rFonts w:ascii="Times New Roman" w:hAnsi="Times New Roman" w:cs="Times New Roman"/>
          <w:sz w:val="24"/>
        </w:rPr>
        <w:t>s set in a tension with the prescriptive morality surrounding a wife’s constant loyalty to her husband.</w:t>
      </w:r>
      <w:r w:rsidR="004B7D1A">
        <w:rPr>
          <w:rFonts w:ascii="Times New Roman" w:hAnsi="Times New Roman" w:cs="Times New Roman"/>
          <w:sz w:val="24"/>
        </w:rPr>
        <w:t xml:space="preserve"> It is this conception of female virtue </w:t>
      </w:r>
      <w:r w:rsidR="00921131">
        <w:rPr>
          <w:rFonts w:ascii="Times New Roman" w:hAnsi="Times New Roman" w:cs="Times New Roman"/>
          <w:sz w:val="24"/>
        </w:rPr>
        <w:t xml:space="preserve">to </w:t>
      </w:r>
      <w:r w:rsidR="004B7D1A">
        <w:rPr>
          <w:rFonts w:ascii="Times New Roman" w:hAnsi="Times New Roman" w:cs="Times New Roman"/>
          <w:sz w:val="24"/>
        </w:rPr>
        <w:t xml:space="preserve">which we shall regularly return throughout this thesis, </w:t>
      </w:r>
      <w:r w:rsidR="00BF52F0">
        <w:rPr>
          <w:rFonts w:ascii="Times New Roman" w:hAnsi="Times New Roman" w:cs="Times New Roman"/>
          <w:sz w:val="24"/>
        </w:rPr>
        <w:t>to</w:t>
      </w:r>
      <w:r w:rsidR="004B7D1A">
        <w:rPr>
          <w:rFonts w:ascii="Times New Roman" w:hAnsi="Times New Roman" w:cs="Times New Roman"/>
          <w:sz w:val="24"/>
        </w:rPr>
        <w:t xml:space="preserve"> understand how the portrayal of classical women in drama measures up </w:t>
      </w:r>
      <w:r w:rsidR="00BF52F0">
        <w:rPr>
          <w:rFonts w:ascii="Times New Roman" w:hAnsi="Times New Roman" w:cs="Times New Roman"/>
          <w:sz w:val="24"/>
        </w:rPr>
        <w:t>against</w:t>
      </w:r>
      <w:r w:rsidR="004B7D1A">
        <w:rPr>
          <w:rFonts w:ascii="Times New Roman" w:hAnsi="Times New Roman" w:cs="Times New Roman"/>
          <w:sz w:val="24"/>
        </w:rPr>
        <w:t xml:space="preserve"> this moralising ideal.</w:t>
      </w:r>
    </w:p>
    <w:p w14:paraId="37FE1C5C" w14:textId="292E2A1A" w:rsidR="00FB3019" w:rsidRDefault="00000835" w:rsidP="002D58FB">
      <w:pPr>
        <w:spacing w:line="240" w:lineRule="auto"/>
        <w:jc w:val="both"/>
        <w:rPr>
          <w:rFonts w:ascii="Times New Roman" w:hAnsi="Times New Roman" w:cs="Times New Roman"/>
          <w:sz w:val="24"/>
        </w:rPr>
      </w:pPr>
      <w:r>
        <w:rPr>
          <w:rFonts w:ascii="Times New Roman" w:hAnsi="Times New Roman" w:cs="Times New Roman"/>
          <w:sz w:val="24"/>
        </w:rPr>
        <w:t>Classical</w:t>
      </w:r>
      <w:r w:rsidR="00FE253E">
        <w:rPr>
          <w:rFonts w:ascii="Times New Roman" w:hAnsi="Times New Roman" w:cs="Times New Roman"/>
          <w:sz w:val="24"/>
        </w:rPr>
        <w:t xml:space="preserve"> women were often used to demonstrate that </w:t>
      </w:r>
      <w:r>
        <w:rPr>
          <w:rFonts w:ascii="Times New Roman" w:hAnsi="Times New Roman" w:cs="Times New Roman"/>
          <w:sz w:val="24"/>
        </w:rPr>
        <w:t>these demanding moral standards were practically realisable</w:t>
      </w:r>
      <w:r w:rsidR="00FE253E">
        <w:rPr>
          <w:rFonts w:ascii="Times New Roman" w:hAnsi="Times New Roman" w:cs="Times New Roman"/>
          <w:sz w:val="24"/>
        </w:rPr>
        <w:t xml:space="preserve">. </w:t>
      </w:r>
      <w:r w:rsidR="00CC5C2D">
        <w:rPr>
          <w:rFonts w:ascii="Times New Roman" w:hAnsi="Times New Roman" w:cs="Times New Roman"/>
          <w:sz w:val="24"/>
        </w:rPr>
        <w:t xml:space="preserve">In Castiglione’s </w:t>
      </w:r>
      <w:r w:rsidR="00CC5C2D">
        <w:rPr>
          <w:rFonts w:ascii="Times New Roman" w:hAnsi="Times New Roman" w:cs="Times New Roman"/>
          <w:i/>
          <w:sz w:val="24"/>
        </w:rPr>
        <w:t>The Book of the Courtier</w:t>
      </w:r>
      <w:r w:rsidR="00CC5C2D">
        <w:rPr>
          <w:rFonts w:ascii="Times New Roman" w:hAnsi="Times New Roman" w:cs="Times New Roman"/>
          <w:sz w:val="24"/>
        </w:rPr>
        <w:t xml:space="preserve">, translated into English by Sir Thomas </w:t>
      </w:r>
      <w:proofErr w:type="spellStart"/>
      <w:r w:rsidR="00CC5C2D">
        <w:rPr>
          <w:rFonts w:ascii="Times New Roman" w:hAnsi="Times New Roman" w:cs="Times New Roman"/>
          <w:sz w:val="24"/>
        </w:rPr>
        <w:t>Hoby</w:t>
      </w:r>
      <w:proofErr w:type="spellEnd"/>
      <w:r w:rsidR="00CC5C2D">
        <w:rPr>
          <w:rFonts w:ascii="Times New Roman" w:hAnsi="Times New Roman" w:cs="Times New Roman"/>
          <w:sz w:val="24"/>
        </w:rPr>
        <w:t xml:space="preserve"> in 1561, the Magnifico </w:t>
      </w:r>
      <w:proofErr w:type="spellStart"/>
      <w:r w:rsidR="00EE423D">
        <w:rPr>
          <w:rFonts w:ascii="Times New Roman" w:hAnsi="Times New Roman" w:cs="Times New Roman"/>
          <w:sz w:val="24"/>
        </w:rPr>
        <w:t>Ju</w:t>
      </w:r>
      <w:r w:rsidR="00CC5C2D">
        <w:rPr>
          <w:rFonts w:ascii="Times New Roman" w:hAnsi="Times New Roman" w:cs="Times New Roman"/>
          <w:sz w:val="24"/>
        </w:rPr>
        <w:t>liano</w:t>
      </w:r>
      <w:proofErr w:type="spellEnd"/>
      <w:r w:rsidR="00CC5C2D">
        <w:rPr>
          <w:rFonts w:ascii="Times New Roman" w:hAnsi="Times New Roman" w:cs="Times New Roman"/>
          <w:sz w:val="24"/>
        </w:rPr>
        <w:t>, defending the virtues of women against signor Gaspar, presents four Roman women as examples of idealised virtue: Octavia</w:t>
      </w:r>
      <w:r w:rsidR="00303949">
        <w:rPr>
          <w:rFonts w:ascii="Times New Roman" w:hAnsi="Times New Roman" w:cs="Times New Roman"/>
          <w:sz w:val="24"/>
        </w:rPr>
        <w:t>,</w:t>
      </w:r>
      <w:r w:rsidR="00CC5C2D">
        <w:rPr>
          <w:rFonts w:ascii="Times New Roman" w:hAnsi="Times New Roman" w:cs="Times New Roman"/>
          <w:sz w:val="24"/>
        </w:rPr>
        <w:t xml:space="preserve"> Portia, </w:t>
      </w:r>
      <w:proofErr w:type="spellStart"/>
      <w:r w:rsidR="00CC5C2D">
        <w:rPr>
          <w:rFonts w:ascii="Times New Roman" w:hAnsi="Times New Roman" w:cs="Times New Roman"/>
          <w:sz w:val="24"/>
        </w:rPr>
        <w:t>Caia</w:t>
      </w:r>
      <w:proofErr w:type="spellEnd"/>
      <w:r w:rsidR="00CC5C2D">
        <w:rPr>
          <w:rFonts w:ascii="Times New Roman" w:hAnsi="Times New Roman" w:cs="Times New Roman"/>
          <w:sz w:val="24"/>
        </w:rPr>
        <w:t xml:space="preserve"> </w:t>
      </w:r>
      <w:proofErr w:type="spellStart"/>
      <w:r w:rsidR="00CC5C2D">
        <w:rPr>
          <w:rFonts w:ascii="Times New Roman" w:hAnsi="Times New Roman" w:cs="Times New Roman"/>
          <w:sz w:val="24"/>
        </w:rPr>
        <w:t>Caecilia</w:t>
      </w:r>
      <w:proofErr w:type="spellEnd"/>
      <w:r w:rsidR="00766E76">
        <w:rPr>
          <w:rFonts w:ascii="Times New Roman" w:hAnsi="Times New Roman" w:cs="Times New Roman"/>
          <w:sz w:val="24"/>
        </w:rPr>
        <w:t xml:space="preserve">, </w:t>
      </w:r>
      <w:r w:rsidR="00CC5C2D">
        <w:rPr>
          <w:rFonts w:ascii="Times New Roman" w:hAnsi="Times New Roman" w:cs="Times New Roman"/>
          <w:sz w:val="24"/>
        </w:rPr>
        <w:t xml:space="preserve">wife of Tarquinius </w:t>
      </w:r>
      <w:proofErr w:type="spellStart"/>
      <w:r w:rsidR="00CC5C2D">
        <w:rPr>
          <w:rFonts w:ascii="Times New Roman" w:hAnsi="Times New Roman" w:cs="Times New Roman"/>
          <w:sz w:val="24"/>
        </w:rPr>
        <w:t>Priscus</w:t>
      </w:r>
      <w:proofErr w:type="spellEnd"/>
      <w:r w:rsidR="00921EA2">
        <w:rPr>
          <w:rFonts w:ascii="Times New Roman" w:hAnsi="Times New Roman" w:cs="Times New Roman"/>
          <w:sz w:val="24"/>
        </w:rPr>
        <w:t>,</w:t>
      </w:r>
      <w:r w:rsidR="00CC5C2D">
        <w:rPr>
          <w:rFonts w:ascii="Times New Roman" w:hAnsi="Times New Roman" w:cs="Times New Roman"/>
          <w:sz w:val="24"/>
        </w:rPr>
        <w:t xml:space="preserve"> and Cornelia, Scipio’s daughter.</w:t>
      </w:r>
      <w:r w:rsidR="008E5ED2">
        <w:rPr>
          <w:rStyle w:val="FootnoteReference"/>
          <w:rFonts w:ascii="Times New Roman" w:hAnsi="Times New Roman" w:cs="Times New Roman"/>
          <w:sz w:val="24"/>
        </w:rPr>
        <w:footnoteReference w:id="25"/>
      </w:r>
      <w:r w:rsidR="008E5ED2">
        <w:rPr>
          <w:rFonts w:ascii="Times New Roman" w:hAnsi="Times New Roman" w:cs="Times New Roman"/>
          <w:sz w:val="24"/>
        </w:rPr>
        <w:t xml:space="preserve"> I</w:t>
      </w:r>
      <w:r w:rsidR="00BF52F0">
        <w:rPr>
          <w:rFonts w:ascii="Times New Roman" w:hAnsi="Times New Roman" w:cs="Times New Roman"/>
          <w:sz w:val="24"/>
        </w:rPr>
        <w:t>nterestingly,</w:t>
      </w:r>
      <w:r w:rsidR="008E5ED2">
        <w:rPr>
          <w:rFonts w:ascii="Times New Roman" w:hAnsi="Times New Roman" w:cs="Times New Roman"/>
          <w:sz w:val="24"/>
        </w:rPr>
        <w:t xml:space="preserve"> </w:t>
      </w:r>
      <w:r w:rsidR="00BF52F0">
        <w:rPr>
          <w:rFonts w:ascii="Times New Roman" w:hAnsi="Times New Roman" w:cs="Times New Roman"/>
          <w:sz w:val="24"/>
        </w:rPr>
        <w:t>of these four</w:t>
      </w:r>
      <w:r w:rsidR="008E5ED2">
        <w:rPr>
          <w:rFonts w:ascii="Times New Roman" w:hAnsi="Times New Roman" w:cs="Times New Roman"/>
          <w:sz w:val="24"/>
        </w:rPr>
        <w:t xml:space="preserve"> examples of idealised female virtue, three feature prominently in late Elizabethan Roman plays: Octavia in Samuel Brandon’s </w:t>
      </w:r>
      <w:r w:rsidR="008E5ED2">
        <w:rPr>
          <w:rFonts w:ascii="Times New Roman" w:hAnsi="Times New Roman" w:cs="Times New Roman"/>
          <w:i/>
          <w:sz w:val="24"/>
        </w:rPr>
        <w:t>The V</w:t>
      </w:r>
      <w:r w:rsidR="00714213">
        <w:rPr>
          <w:rFonts w:ascii="Times New Roman" w:hAnsi="Times New Roman" w:cs="Times New Roman"/>
          <w:i/>
          <w:sz w:val="24"/>
        </w:rPr>
        <w:t>i</w:t>
      </w:r>
      <w:r w:rsidR="008E5ED2">
        <w:rPr>
          <w:rFonts w:ascii="Times New Roman" w:hAnsi="Times New Roman" w:cs="Times New Roman"/>
          <w:i/>
          <w:sz w:val="24"/>
        </w:rPr>
        <w:t xml:space="preserve">rtuous Octavia </w:t>
      </w:r>
      <w:r w:rsidR="00BD1873">
        <w:rPr>
          <w:rFonts w:ascii="Times New Roman" w:hAnsi="Times New Roman" w:cs="Times New Roman"/>
          <w:sz w:val="24"/>
        </w:rPr>
        <w:t>(1598)</w:t>
      </w:r>
      <w:r w:rsidR="008E5ED2">
        <w:rPr>
          <w:rFonts w:ascii="Times New Roman" w:hAnsi="Times New Roman" w:cs="Times New Roman"/>
          <w:sz w:val="24"/>
        </w:rPr>
        <w:t xml:space="preserve">, Portia in Shakespeare’s </w:t>
      </w:r>
      <w:r w:rsidR="008E5ED2">
        <w:rPr>
          <w:rFonts w:ascii="Times New Roman" w:hAnsi="Times New Roman" w:cs="Times New Roman"/>
          <w:i/>
          <w:sz w:val="24"/>
        </w:rPr>
        <w:t xml:space="preserve">Julius Caesar </w:t>
      </w:r>
      <w:r w:rsidR="008E5ED2">
        <w:rPr>
          <w:rFonts w:ascii="Times New Roman" w:hAnsi="Times New Roman" w:cs="Times New Roman"/>
          <w:sz w:val="24"/>
        </w:rPr>
        <w:t xml:space="preserve">(1599) and Cornelia in Thomas Kyd’s translation of Robert Garnier’s </w:t>
      </w:r>
      <w:r w:rsidR="008E5ED2">
        <w:rPr>
          <w:rFonts w:ascii="Times New Roman" w:hAnsi="Times New Roman" w:cs="Times New Roman"/>
          <w:i/>
          <w:sz w:val="24"/>
        </w:rPr>
        <w:t xml:space="preserve">Cornelia </w:t>
      </w:r>
      <w:r w:rsidR="008E5ED2">
        <w:rPr>
          <w:rFonts w:ascii="Times New Roman" w:hAnsi="Times New Roman" w:cs="Times New Roman"/>
          <w:sz w:val="24"/>
        </w:rPr>
        <w:t>(1594).</w:t>
      </w:r>
      <w:r w:rsidR="008E5ED2">
        <w:rPr>
          <w:rStyle w:val="FootnoteReference"/>
          <w:rFonts w:ascii="Times New Roman" w:hAnsi="Times New Roman" w:cs="Times New Roman"/>
          <w:sz w:val="24"/>
        </w:rPr>
        <w:footnoteReference w:id="26"/>
      </w:r>
      <w:r w:rsidR="00175735">
        <w:rPr>
          <w:rFonts w:ascii="Times New Roman" w:hAnsi="Times New Roman" w:cs="Times New Roman"/>
          <w:sz w:val="24"/>
        </w:rPr>
        <w:t xml:space="preserve"> </w:t>
      </w:r>
      <w:r w:rsidR="00175735" w:rsidRPr="00175735">
        <w:rPr>
          <w:rFonts w:ascii="Times New Roman" w:hAnsi="Times New Roman" w:cs="Times New Roman"/>
          <w:sz w:val="24"/>
        </w:rPr>
        <w:t xml:space="preserve">Within these plays, the womanly virtues </w:t>
      </w:r>
      <w:r w:rsidR="00175735">
        <w:rPr>
          <w:rFonts w:ascii="Times New Roman" w:hAnsi="Times New Roman" w:cs="Times New Roman"/>
          <w:sz w:val="24"/>
        </w:rPr>
        <w:t>praised and demanded</w:t>
      </w:r>
      <w:r w:rsidR="00175735" w:rsidRPr="00175735">
        <w:rPr>
          <w:rFonts w:ascii="Times New Roman" w:hAnsi="Times New Roman" w:cs="Times New Roman"/>
          <w:sz w:val="24"/>
        </w:rPr>
        <w:t xml:space="preserve"> by </w:t>
      </w:r>
      <w:r w:rsidR="00175735">
        <w:rPr>
          <w:rFonts w:ascii="Times New Roman" w:hAnsi="Times New Roman" w:cs="Times New Roman"/>
          <w:sz w:val="24"/>
        </w:rPr>
        <w:t xml:space="preserve">the </w:t>
      </w:r>
      <w:r w:rsidR="00175735" w:rsidRPr="00175735">
        <w:rPr>
          <w:rFonts w:ascii="Times New Roman" w:hAnsi="Times New Roman" w:cs="Times New Roman"/>
          <w:sz w:val="24"/>
        </w:rPr>
        <w:t xml:space="preserve">various authors of sermons and guidebooks </w:t>
      </w:r>
      <w:r w:rsidR="00175735">
        <w:rPr>
          <w:rFonts w:ascii="Times New Roman" w:hAnsi="Times New Roman" w:cs="Times New Roman"/>
          <w:sz w:val="24"/>
        </w:rPr>
        <w:t xml:space="preserve">above </w:t>
      </w:r>
      <w:r w:rsidR="00175735" w:rsidRPr="00175735">
        <w:rPr>
          <w:rFonts w:ascii="Times New Roman" w:hAnsi="Times New Roman" w:cs="Times New Roman"/>
          <w:sz w:val="24"/>
        </w:rPr>
        <w:t xml:space="preserve">for womanly conduct are </w:t>
      </w:r>
      <w:r w:rsidR="004A1265">
        <w:rPr>
          <w:rFonts w:ascii="Times New Roman" w:hAnsi="Times New Roman" w:cs="Times New Roman"/>
          <w:sz w:val="24"/>
        </w:rPr>
        <w:t>epitomised</w:t>
      </w:r>
      <w:r w:rsidR="00175735" w:rsidRPr="00175735">
        <w:rPr>
          <w:rFonts w:ascii="Times New Roman" w:hAnsi="Times New Roman" w:cs="Times New Roman"/>
          <w:sz w:val="24"/>
        </w:rPr>
        <w:t xml:space="preserve"> by these women</w:t>
      </w:r>
      <w:r w:rsidR="00422C45">
        <w:rPr>
          <w:rFonts w:ascii="Times New Roman" w:hAnsi="Times New Roman" w:cs="Times New Roman"/>
          <w:sz w:val="24"/>
        </w:rPr>
        <w:t>.</w:t>
      </w:r>
      <w:r w:rsidR="00175735">
        <w:rPr>
          <w:rFonts w:ascii="Times New Roman" w:hAnsi="Times New Roman" w:cs="Times New Roman"/>
          <w:sz w:val="24"/>
        </w:rPr>
        <w:t xml:space="preserve"> </w:t>
      </w:r>
    </w:p>
    <w:p w14:paraId="7EE4B638" w14:textId="31B05AA2" w:rsidR="00701DEF" w:rsidRDefault="00175735" w:rsidP="002D58FB">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Kyd’s </w:t>
      </w:r>
      <w:r w:rsidR="00C033BA">
        <w:rPr>
          <w:rFonts w:ascii="Times New Roman" w:hAnsi="Times New Roman" w:cs="Times New Roman"/>
          <w:i/>
          <w:sz w:val="24"/>
        </w:rPr>
        <w:t xml:space="preserve">Cornelia </w:t>
      </w:r>
      <w:r w:rsidR="0087243A">
        <w:rPr>
          <w:rFonts w:ascii="Times New Roman" w:hAnsi="Times New Roman" w:cs="Times New Roman"/>
          <w:sz w:val="24"/>
        </w:rPr>
        <w:t>most clearly p</w:t>
      </w:r>
      <w:r w:rsidR="005F59FB">
        <w:rPr>
          <w:rFonts w:ascii="Times New Roman" w:hAnsi="Times New Roman" w:cs="Times New Roman"/>
          <w:sz w:val="24"/>
        </w:rPr>
        <w:t>ortrays</w:t>
      </w:r>
      <w:r w:rsidR="00C033BA">
        <w:rPr>
          <w:rFonts w:ascii="Times New Roman" w:hAnsi="Times New Roman" w:cs="Times New Roman"/>
          <w:sz w:val="24"/>
        </w:rPr>
        <w:t xml:space="preserve"> idealised female virtue.</w:t>
      </w:r>
      <w:r w:rsidR="001A79EB">
        <w:rPr>
          <w:rFonts w:ascii="Times New Roman" w:hAnsi="Times New Roman" w:cs="Times New Roman"/>
          <w:sz w:val="24"/>
        </w:rPr>
        <w:t xml:space="preserve"> </w:t>
      </w:r>
      <w:r w:rsidR="003353F0">
        <w:rPr>
          <w:rFonts w:ascii="Times New Roman" w:hAnsi="Times New Roman" w:cs="Times New Roman"/>
          <w:sz w:val="24"/>
        </w:rPr>
        <w:t xml:space="preserve"> </w:t>
      </w:r>
      <w:r w:rsidR="00BF085E">
        <w:rPr>
          <w:rFonts w:ascii="Times New Roman" w:hAnsi="Times New Roman" w:cs="Times New Roman"/>
          <w:sz w:val="24"/>
        </w:rPr>
        <w:t>I</w:t>
      </w:r>
      <w:r w:rsidR="003353F0">
        <w:rPr>
          <w:rFonts w:ascii="Times New Roman" w:hAnsi="Times New Roman" w:cs="Times New Roman"/>
          <w:sz w:val="24"/>
        </w:rPr>
        <w:t xml:space="preserve">n </w:t>
      </w:r>
      <w:proofErr w:type="gramStart"/>
      <w:r w:rsidR="00701DEF">
        <w:rPr>
          <w:rFonts w:ascii="Times New Roman" w:hAnsi="Times New Roman" w:cs="Times New Roman"/>
          <w:sz w:val="24"/>
        </w:rPr>
        <w:t>The</w:t>
      </w:r>
      <w:proofErr w:type="gramEnd"/>
      <w:r w:rsidR="00701DEF">
        <w:rPr>
          <w:rFonts w:ascii="Times New Roman" w:hAnsi="Times New Roman" w:cs="Times New Roman"/>
          <w:sz w:val="24"/>
        </w:rPr>
        <w:t xml:space="preserve"> Argument to the play, Cornelia is described as ‘a young Roma</w:t>
      </w:r>
      <w:r w:rsidR="00710079">
        <w:rPr>
          <w:rFonts w:ascii="Times New Roman" w:hAnsi="Times New Roman" w:cs="Times New Roman"/>
          <w:sz w:val="24"/>
        </w:rPr>
        <w:t>n</w:t>
      </w:r>
      <w:r w:rsidR="00701DEF">
        <w:rPr>
          <w:rFonts w:ascii="Times New Roman" w:hAnsi="Times New Roman" w:cs="Times New Roman"/>
          <w:sz w:val="24"/>
        </w:rPr>
        <w:t xml:space="preserve"> lady, as much accomplish</w:t>
      </w:r>
      <w:r w:rsidR="00710079">
        <w:rPr>
          <w:rFonts w:ascii="Times New Roman" w:hAnsi="Times New Roman" w:cs="Times New Roman"/>
          <w:sz w:val="24"/>
        </w:rPr>
        <w:t>ed</w:t>
      </w:r>
      <w:r w:rsidR="00701DEF">
        <w:rPr>
          <w:rFonts w:ascii="Times New Roman" w:hAnsi="Times New Roman" w:cs="Times New Roman"/>
          <w:sz w:val="24"/>
        </w:rPr>
        <w:t xml:space="preserve"> with</w:t>
      </w:r>
      <w:r w:rsidR="00E174D7">
        <w:rPr>
          <w:rFonts w:ascii="Times New Roman" w:hAnsi="Times New Roman" w:cs="Times New Roman"/>
          <w:sz w:val="24"/>
        </w:rPr>
        <w:t>…</w:t>
      </w:r>
      <w:r w:rsidR="00701DEF">
        <w:rPr>
          <w:rFonts w:ascii="Times New Roman" w:hAnsi="Times New Roman" w:cs="Times New Roman"/>
          <w:sz w:val="24"/>
        </w:rPr>
        <w:t>the v</w:t>
      </w:r>
      <w:r w:rsidR="00710079">
        <w:rPr>
          <w:rFonts w:ascii="Times New Roman" w:hAnsi="Times New Roman" w:cs="Times New Roman"/>
          <w:sz w:val="24"/>
        </w:rPr>
        <w:t>i</w:t>
      </w:r>
      <w:r w:rsidR="00701DEF">
        <w:rPr>
          <w:rFonts w:ascii="Times New Roman" w:hAnsi="Times New Roman" w:cs="Times New Roman"/>
          <w:sz w:val="24"/>
        </w:rPr>
        <w:t>rtues of the mind as ever any was’.</w:t>
      </w:r>
      <w:r w:rsidR="00701DEF">
        <w:rPr>
          <w:rStyle w:val="FootnoteReference"/>
          <w:rFonts w:ascii="Times New Roman" w:hAnsi="Times New Roman" w:cs="Times New Roman"/>
          <w:sz w:val="24"/>
        </w:rPr>
        <w:footnoteReference w:id="27"/>
      </w:r>
      <w:r w:rsidR="00C033BA">
        <w:rPr>
          <w:rFonts w:ascii="Times New Roman" w:hAnsi="Times New Roman" w:cs="Times New Roman"/>
          <w:sz w:val="24"/>
        </w:rPr>
        <w:t xml:space="preserve"> The play is set after the death of Pompey, Cornelia’s husband, and revolves around her overwhelming grief at this loss. During the play, her father, </w:t>
      </w:r>
      <w:proofErr w:type="spellStart"/>
      <w:r w:rsidR="00C033BA">
        <w:rPr>
          <w:rFonts w:ascii="Times New Roman" w:hAnsi="Times New Roman" w:cs="Times New Roman"/>
          <w:sz w:val="24"/>
        </w:rPr>
        <w:t>Metellus</w:t>
      </w:r>
      <w:proofErr w:type="spellEnd"/>
      <w:r w:rsidR="00C033BA">
        <w:rPr>
          <w:rFonts w:ascii="Times New Roman" w:hAnsi="Times New Roman" w:cs="Times New Roman"/>
          <w:sz w:val="24"/>
        </w:rPr>
        <w:t xml:space="preserve"> Scipio, commits suicide after </w:t>
      </w:r>
      <w:r w:rsidR="00E43D3F">
        <w:rPr>
          <w:rFonts w:ascii="Times New Roman" w:hAnsi="Times New Roman" w:cs="Times New Roman"/>
          <w:sz w:val="24"/>
        </w:rPr>
        <w:t>being</w:t>
      </w:r>
      <w:r w:rsidR="00C033BA">
        <w:rPr>
          <w:rFonts w:ascii="Times New Roman" w:hAnsi="Times New Roman" w:cs="Times New Roman"/>
          <w:sz w:val="24"/>
        </w:rPr>
        <w:t xml:space="preserve"> defeated by Caesar.</w:t>
      </w:r>
      <w:r w:rsidR="00C033BA">
        <w:rPr>
          <w:rStyle w:val="FootnoteReference"/>
          <w:rFonts w:ascii="Times New Roman" w:hAnsi="Times New Roman" w:cs="Times New Roman"/>
          <w:sz w:val="24"/>
        </w:rPr>
        <w:footnoteReference w:id="28"/>
      </w:r>
      <w:r w:rsidR="005053CC">
        <w:rPr>
          <w:rFonts w:ascii="Times New Roman" w:hAnsi="Times New Roman" w:cs="Times New Roman"/>
          <w:sz w:val="24"/>
        </w:rPr>
        <w:t xml:space="preserve"> Cornelia considers suicide as a response but is repeatedly</w:t>
      </w:r>
      <w:r w:rsidR="00043B2D">
        <w:rPr>
          <w:rFonts w:ascii="Times New Roman" w:hAnsi="Times New Roman" w:cs="Times New Roman"/>
          <w:sz w:val="24"/>
        </w:rPr>
        <w:t xml:space="preserve"> warned</w:t>
      </w:r>
      <w:r w:rsidR="005053CC">
        <w:rPr>
          <w:rFonts w:ascii="Times New Roman" w:hAnsi="Times New Roman" w:cs="Times New Roman"/>
          <w:sz w:val="24"/>
        </w:rPr>
        <w:t xml:space="preserve"> </w:t>
      </w:r>
      <w:r w:rsidR="00BF085E">
        <w:rPr>
          <w:rFonts w:ascii="Times New Roman" w:hAnsi="Times New Roman" w:cs="Times New Roman"/>
          <w:sz w:val="24"/>
        </w:rPr>
        <w:t>against it</w:t>
      </w:r>
      <w:r w:rsidR="005053CC">
        <w:rPr>
          <w:rFonts w:ascii="Times New Roman" w:hAnsi="Times New Roman" w:cs="Times New Roman"/>
          <w:sz w:val="24"/>
        </w:rPr>
        <w:t xml:space="preserve"> by Cicero, who preaches a typically Christian neo-stoical rejection of suicide in favour of </w:t>
      </w:r>
      <w:r w:rsidR="00044D94">
        <w:rPr>
          <w:rFonts w:ascii="Times New Roman" w:hAnsi="Times New Roman" w:cs="Times New Roman"/>
          <w:sz w:val="24"/>
        </w:rPr>
        <w:t>tolerating</w:t>
      </w:r>
      <w:r w:rsidR="005053CC">
        <w:rPr>
          <w:rFonts w:ascii="Times New Roman" w:hAnsi="Times New Roman" w:cs="Times New Roman"/>
          <w:sz w:val="24"/>
        </w:rPr>
        <w:t xml:space="preserve"> evil.</w:t>
      </w:r>
      <w:r w:rsidR="005053CC">
        <w:rPr>
          <w:rStyle w:val="FootnoteReference"/>
          <w:rFonts w:ascii="Times New Roman" w:hAnsi="Times New Roman" w:cs="Times New Roman"/>
          <w:sz w:val="24"/>
        </w:rPr>
        <w:footnoteReference w:id="29"/>
      </w:r>
      <w:r w:rsidR="00701DEF">
        <w:rPr>
          <w:rFonts w:ascii="Times New Roman" w:hAnsi="Times New Roman" w:cs="Times New Roman"/>
          <w:sz w:val="24"/>
        </w:rPr>
        <w:t xml:space="preserve"> The tension in the play therefore </w:t>
      </w:r>
      <w:r w:rsidR="005A2DC1">
        <w:rPr>
          <w:rFonts w:ascii="Times New Roman" w:hAnsi="Times New Roman" w:cs="Times New Roman"/>
          <w:sz w:val="24"/>
        </w:rPr>
        <w:t>centres on</w:t>
      </w:r>
      <w:r w:rsidR="00701DEF">
        <w:rPr>
          <w:rFonts w:ascii="Times New Roman" w:hAnsi="Times New Roman" w:cs="Times New Roman"/>
          <w:sz w:val="24"/>
        </w:rPr>
        <w:t xml:space="preserve"> what the purpose of a virtuous woman should be once her husband has died: should she show her constant loyalty by </w:t>
      </w:r>
      <w:r w:rsidR="00D2160C">
        <w:rPr>
          <w:rFonts w:ascii="Times New Roman" w:hAnsi="Times New Roman" w:cs="Times New Roman"/>
          <w:sz w:val="24"/>
        </w:rPr>
        <w:t>committing suicide</w:t>
      </w:r>
      <w:r w:rsidR="00701DEF">
        <w:rPr>
          <w:rFonts w:ascii="Times New Roman" w:hAnsi="Times New Roman" w:cs="Times New Roman"/>
          <w:sz w:val="24"/>
        </w:rPr>
        <w:t xml:space="preserve"> or resist the evils of the world and continue living? In the end, Cornelia compromise</w:t>
      </w:r>
      <w:r w:rsidR="004070CA">
        <w:rPr>
          <w:rFonts w:ascii="Times New Roman" w:hAnsi="Times New Roman" w:cs="Times New Roman"/>
          <w:sz w:val="24"/>
        </w:rPr>
        <w:t>s</w:t>
      </w:r>
      <w:r w:rsidR="00701DEF">
        <w:rPr>
          <w:rFonts w:ascii="Times New Roman" w:hAnsi="Times New Roman" w:cs="Times New Roman"/>
          <w:sz w:val="24"/>
        </w:rPr>
        <w:t xml:space="preserve">, choosing to live only in order to mourn Pompey and her father: </w:t>
      </w:r>
    </w:p>
    <w:p w14:paraId="2D8295AA" w14:textId="4B90B47F" w:rsidR="00175735" w:rsidRDefault="00701DEF" w:rsidP="002D58FB">
      <w:pPr>
        <w:spacing w:line="240" w:lineRule="auto"/>
        <w:ind w:left="720"/>
        <w:jc w:val="both"/>
        <w:rPr>
          <w:rFonts w:ascii="Times New Roman" w:hAnsi="Times New Roman" w:cs="Times New Roman"/>
          <w:sz w:val="24"/>
        </w:rPr>
      </w:pPr>
      <w:r>
        <w:rPr>
          <w:rFonts w:ascii="Times New Roman" w:hAnsi="Times New Roman" w:cs="Times New Roman"/>
          <w:sz w:val="24"/>
        </w:rPr>
        <w:t>Cornelia must live</w:t>
      </w:r>
      <w:r w:rsidR="004A27A0">
        <w:rPr>
          <w:rFonts w:ascii="Times New Roman" w:hAnsi="Times New Roman" w:cs="Times New Roman"/>
          <w:sz w:val="24"/>
        </w:rPr>
        <w:t xml:space="preserve">- </w:t>
      </w:r>
      <w:r>
        <w:rPr>
          <w:rFonts w:ascii="Times New Roman" w:hAnsi="Times New Roman" w:cs="Times New Roman"/>
          <w:sz w:val="24"/>
        </w:rPr>
        <w:t xml:space="preserve">though life she </w:t>
      </w:r>
      <w:proofErr w:type="spellStart"/>
      <w:r>
        <w:rPr>
          <w:rFonts w:ascii="Times New Roman" w:hAnsi="Times New Roman" w:cs="Times New Roman"/>
          <w:sz w:val="24"/>
        </w:rPr>
        <w:t>hateth</w:t>
      </w:r>
      <w:proofErr w:type="spellEnd"/>
      <w:r w:rsidR="004A27A0">
        <w:rPr>
          <w:rFonts w:ascii="Times New Roman" w:hAnsi="Times New Roman" w:cs="Times New Roman"/>
          <w:sz w:val="24"/>
        </w:rPr>
        <w:t>-</w:t>
      </w:r>
      <w:r>
        <w:rPr>
          <w:rFonts w:ascii="Times New Roman" w:hAnsi="Times New Roman" w:cs="Times New Roman"/>
          <w:sz w:val="24"/>
        </w:rPr>
        <w:t xml:space="preserve"> </w:t>
      </w:r>
    </w:p>
    <w:p w14:paraId="45682D81" w14:textId="3D7288C1" w:rsidR="00701DEF" w:rsidRDefault="00701DEF"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To make your </w:t>
      </w:r>
      <w:r w:rsidR="004A27A0">
        <w:rPr>
          <w:rFonts w:ascii="Times New Roman" w:hAnsi="Times New Roman" w:cs="Times New Roman"/>
          <w:sz w:val="24"/>
        </w:rPr>
        <w:t>t</w:t>
      </w:r>
      <w:r>
        <w:rPr>
          <w:rFonts w:ascii="Times New Roman" w:hAnsi="Times New Roman" w:cs="Times New Roman"/>
          <w:sz w:val="24"/>
        </w:rPr>
        <w:t>ombs, and mourn upon your hearses</w:t>
      </w:r>
      <w:r w:rsidR="00BF085E">
        <w:rPr>
          <w:rFonts w:ascii="Times New Roman" w:hAnsi="Times New Roman" w:cs="Times New Roman"/>
          <w:sz w:val="24"/>
        </w:rPr>
        <w:t>…</w:t>
      </w:r>
      <w:r w:rsidR="00710079">
        <w:rPr>
          <w:rStyle w:val="FootnoteReference"/>
          <w:rFonts w:ascii="Times New Roman" w:hAnsi="Times New Roman" w:cs="Times New Roman"/>
          <w:sz w:val="24"/>
        </w:rPr>
        <w:footnoteReference w:id="30"/>
      </w:r>
    </w:p>
    <w:p w14:paraId="2F3B7605" w14:textId="6319B858" w:rsidR="00D912EE" w:rsidRDefault="007A5EED" w:rsidP="002D58FB">
      <w:pPr>
        <w:spacing w:line="240" w:lineRule="auto"/>
        <w:jc w:val="both"/>
        <w:rPr>
          <w:rFonts w:ascii="Times New Roman" w:hAnsi="Times New Roman" w:cs="Times New Roman"/>
          <w:sz w:val="24"/>
        </w:rPr>
      </w:pPr>
      <w:r>
        <w:rPr>
          <w:rFonts w:ascii="Times New Roman" w:hAnsi="Times New Roman" w:cs="Times New Roman"/>
          <w:sz w:val="24"/>
        </w:rPr>
        <w:t>Cornelia’s story is thus one of constant dedication to her husband and father</w:t>
      </w:r>
      <w:r w:rsidR="007C2141">
        <w:rPr>
          <w:rFonts w:ascii="Times New Roman" w:hAnsi="Times New Roman" w:cs="Times New Roman"/>
          <w:sz w:val="24"/>
        </w:rPr>
        <w:t xml:space="preserve">, </w:t>
      </w:r>
      <w:r w:rsidR="00E66B42">
        <w:rPr>
          <w:rFonts w:ascii="Times New Roman" w:hAnsi="Times New Roman" w:cs="Times New Roman"/>
          <w:sz w:val="24"/>
        </w:rPr>
        <w:t>which clearly affirms the moral prescriptions of writers on female virtue.</w:t>
      </w:r>
      <w:r w:rsidR="004B1284">
        <w:rPr>
          <w:rFonts w:ascii="Times New Roman" w:hAnsi="Times New Roman" w:cs="Times New Roman"/>
          <w:sz w:val="24"/>
        </w:rPr>
        <w:t xml:space="preserve"> </w:t>
      </w:r>
      <w:r w:rsidR="00172C69">
        <w:rPr>
          <w:rFonts w:ascii="Times New Roman" w:hAnsi="Times New Roman" w:cs="Times New Roman"/>
          <w:sz w:val="24"/>
        </w:rPr>
        <w:t>T</w:t>
      </w:r>
      <w:r w:rsidR="00440FCA">
        <w:rPr>
          <w:rFonts w:ascii="Times New Roman" w:hAnsi="Times New Roman" w:cs="Times New Roman"/>
          <w:sz w:val="24"/>
        </w:rPr>
        <w:t xml:space="preserve">he play was dedicated to Bridget </w:t>
      </w:r>
      <w:proofErr w:type="spellStart"/>
      <w:r w:rsidR="00440FCA">
        <w:rPr>
          <w:rFonts w:ascii="Times New Roman" w:hAnsi="Times New Roman" w:cs="Times New Roman"/>
          <w:sz w:val="24"/>
        </w:rPr>
        <w:t>Fitzwalter</w:t>
      </w:r>
      <w:proofErr w:type="spellEnd"/>
      <w:r w:rsidR="00440FCA">
        <w:rPr>
          <w:rFonts w:ascii="Times New Roman" w:hAnsi="Times New Roman" w:cs="Times New Roman"/>
          <w:sz w:val="24"/>
        </w:rPr>
        <w:t xml:space="preserve">, the Countess of Sussex (1575-1623) </w:t>
      </w:r>
      <w:r w:rsidR="009C28DE">
        <w:rPr>
          <w:rFonts w:ascii="Times New Roman" w:hAnsi="Times New Roman" w:cs="Times New Roman"/>
          <w:sz w:val="24"/>
        </w:rPr>
        <w:t>whose</w:t>
      </w:r>
      <w:r w:rsidR="00440FCA">
        <w:rPr>
          <w:rFonts w:ascii="Times New Roman" w:hAnsi="Times New Roman" w:cs="Times New Roman"/>
          <w:sz w:val="24"/>
        </w:rPr>
        <w:t xml:space="preserve"> father, Henry Radcliffe, the 4</w:t>
      </w:r>
      <w:r w:rsidR="00440FCA" w:rsidRPr="00440FCA">
        <w:rPr>
          <w:rFonts w:ascii="Times New Roman" w:hAnsi="Times New Roman" w:cs="Times New Roman"/>
          <w:sz w:val="24"/>
          <w:vertAlign w:val="superscript"/>
        </w:rPr>
        <w:t>th</w:t>
      </w:r>
      <w:r w:rsidR="00440FCA">
        <w:rPr>
          <w:rFonts w:ascii="Times New Roman" w:hAnsi="Times New Roman" w:cs="Times New Roman"/>
          <w:sz w:val="24"/>
        </w:rPr>
        <w:t xml:space="preserve"> Earl of Sussex, had recently died in December 1593, followed </w:t>
      </w:r>
      <w:r w:rsidR="008B7D83">
        <w:rPr>
          <w:rFonts w:ascii="Times New Roman" w:hAnsi="Times New Roman" w:cs="Times New Roman"/>
          <w:sz w:val="24"/>
        </w:rPr>
        <w:t>shortly</w:t>
      </w:r>
      <w:r w:rsidR="00440FCA">
        <w:rPr>
          <w:rFonts w:ascii="Times New Roman" w:hAnsi="Times New Roman" w:cs="Times New Roman"/>
          <w:sz w:val="24"/>
        </w:rPr>
        <w:t xml:space="preserve"> by his wife.</w:t>
      </w:r>
      <w:r w:rsidR="00440FCA">
        <w:rPr>
          <w:rStyle w:val="FootnoteReference"/>
          <w:rFonts w:ascii="Times New Roman" w:hAnsi="Times New Roman" w:cs="Times New Roman"/>
          <w:sz w:val="24"/>
        </w:rPr>
        <w:footnoteReference w:id="31"/>
      </w:r>
      <w:r w:rsidR="00440FCA">
        <w:rPr>
          <w:rFonts w:ascii="Times New Roman" w:hAnsi="Times New Roman" w:cs="Times New Roman"/>
          <w:sz w:val="24"/>
        </w:rPr>
        <w:t xml:space="preserve"> Kyd’s dedication of this translation, therefore, had an ostensibly practical aim of providing Cornelia as a model of idealised womanly grief </w:t>
      </w:r>
      <w:r w:rsidR="009C28DE">
        <w:rPr>
          <w:rFonts w:ascii="Times New Roman" w:hAnsi="Times New Roman" w:cs="Times New Roman"/>
          <w:sz w:val="24"/>
        </w:rPr>
        <w:t>to a recently bereaved patron in need of literary and philosophical comfort.</w:t>
      </w:r>
      <w:r w:rsidR="00557AE8">
        <w:rPr>
          <w:rFonts w:ascii="Times New Roman" w:hAnsi="Times New Roman" w:cs="Times New Roman"/>
          <w:sz w:val="24"/>
        </w:rPr>
        <w:t xml:space="preserve"> </w:t>
      </w:r>
    </w:p>
    <w:p w14:paraId="7CD0F154" w14:textId="04F70734" w:rsidR="00C0048E" w:rsidRDefault="004B1284" w:rsidP="002D58FB">
      <w:pPr>
        <w:spacing w:line="240" w:lineRule="auto"/>
        <w:jc w:val="both"/>
        <w:rPr>
          <w:rFonts w:ascii="Times New Roman" w:hAnsi="Times New Roman" w:cs="Times New Roman"/>
          <w:sz w:val="24"/>
        </w:rPr>
      </w:pPr>
      <w:r>
        <w:rPr>
          <w:rFonts w:ascii="Times New Roman" w:hAnsi="Times New Roman" w:cs="Times New Roman"/>
          <w:sz w:val="24"/>
        </w:rPr>
        <w:t xml:space="preserve">Cornelia also briefly appears in </w:t>
      </w:r>
      <w:r w:rsidR="00C0048E">
        <w:rPr>
          <w:rFonts w:ascii="Times New Roman" w:hAnsi="Times New Roman" w:cs="Times New Roman"/>
          <w:sz w:val="24"/>
        </w:rPr>
        <w:t xml:space="preserve">the anonymous </w:t>
      </w:r>
      <w:bookmarkStart w:id="0" w:name="_Hlk536619305"/>
      <w:r w:rsidR="00C0048E">
        <w:rPr>
          <w:rFonts w:ascii="Times New Roman" w:hAnsi="Times New Roman" w:cs="Times New Roman"/>
          <w:i/>
          <w:sz w:val="24"/>
        </w:rPr>
        <w:t xml:space="preserve">The </w:t>
      </w:r>
      <w:proofErr w:type="spellStart"/>
      <w:r w:rsidR="00C0048E">
        <w:rPr>
          <w:rFonts w:ascii="Times New Roman" w:hAnsi="Times New Roman" w:cs="Times New Roman"/>
          <w:i/>
          <w:sz w:val="24"/>
        </w:rPr>
        <w:t>Tragedie</w:t>
      </w:r>
      <w:proofErr w:type="spellEnd"/>
      <w:r w:rsidR="00C0048E">
        <w:rPr>
          <w:rFonts w:ascii="Times New Roman" w:hAnsi="Times New Roman" w:cs="Times New Roman"/>
          <w:i/>
          <w:sz w:val="24"/>
        </w:rPr>
        <w:t xml:space="preserve"> of Caesar and Pompey or Caesar’s Revenge</w:t>
      </w:r>
      <w:bookmarkEnd w:id="0"/>
      <w:r w:rsidR="00C0048E">
        <w:rPr>
          <w:rFonts w:ascii="Times New Roman" w:hAnsi="Times New Roman" w:cs="Times New Roman"/>
          <w:sz w:val="24"/>
        </w:rPr>
        <w:t>, printed in 1607 and</w:t>
      </w:r>
      <w:r w:rsidR="008C2C13">
        <w:rPr>
          <w:rFonts w:ascii="Times New Roman" w:hAnsi="Times New Roman" w:cs="Times New Roman"/>
          <w:sz w:val="24"/>
        </w:rPr>
        <w:t xml:space="preserve"> probably</w:t>
      </w:r>
      <w:r w:rsidR="00C0048E">
        <w:rPr>
          <w:rFonts w:ascii="Times New Roman" w:hAnsi="Times New Roman" w:cs="Times New Roman"/>
          <w:sz w:val="24"/>
        </w:rPr>
        <w:t xml:space="preserve"> performed in Trinity College Oxford</w:t>
      </w:r>
      <w:r w:rsidR="008C2C13">
        <w:rPr>
          <w:rFonts w:ascii="Times New Roman" w:hAnsi="Times New Roman" w:cs="Times New Roman"/>
          <w:sz w:val="24"/>
        </w:rPr>
        <w:t xml:space="preserve"> during Elizabeth’s reign.</w:t>
      </w:r>
      <w:r w:rsidR="00F22E0F">
        <w:rPr>
          <w:rStyle w:val="FootnoteReference"/>
          <w:rFonts w:ascii="Times New Roman" w:hAnsi="Times New Roman" w:cs="Times New Roman"/>
          <w:sz w:val="24"/>
        </w:rPr>
        <w:footnoteReference w:id="32"/>
      </w:r>
      <w:r w:rsidR="00C0048E">
        <w:rPr>
          <w:rFonts w:ascii="Times New Roman" w:hAnsi="Times New Roman" w:cs="Times New Roman"/>
          <w:sz w:val="24"/>
        </w:rPr>
        <w:t xml:space="preserve"> Cornelia</w:t>
      </w:r>
      <w:r w:rsidR="00D26EDD">
        <w:rPr>
          <w:rFonts w:ascii="Times New Roman" w:hAnsi="Times New Roman" w:cs="Times New Roman"/>
          <w:sz w:val="24"/>
        </w:rPr>
        <w:t xml:space="preserve"> appears twice in the play. Her first scene</w:t>
      </w:r>
      <w:r w:rsidR="00C0048E">
        <w:rPr>
          <w:rFonts w:ascii="Times New Roman" w:hAnsi="Times New Roman" w:cs="Times New Roman"/>
          <w:sz w:val="24"/>
        </w:rPr>
        <w:t xml:space="preserve"> emphasises her constant devotion to Pompey, demanding to </w:t>
      </w:r>
      <w:r w:rsidR="00310AE5">
        <w:rPr>
          <w:rFonts w:ascii="Times New Roman" w:hAnsi="Times New Roman" w:cs="Times New Roman"/>
          <w:sz w:val="24"/>
        </w:rPr>
        <w:t>accompany him to</w:t>
      </w:r>
      <w:r w:rsidR="00C0048E">
        <w:rPr>
          <w:rFonts w:ascii="Times New Roman" w:hAnsi="Times New Roman" w:cs="Times New Roman"/>
          <w:sz w:val="24"/>
        </w:rPr>
        <w:t xml:space="preserve"> Egypt, despite the dangers: </w:t>
      </w:r>
    </w:p>
    <w:p w14:paraId="48A69530" w14:textId="5158D417" w:rsidR="00701DEF" w:rsidRDefault="00C0048E" w:rsidP="002D58FB">
      <w:pPr>
        <w:spacing w:line="240" w:lineRule="auto"/>
        <w:ind w:left="720"/>
        <w:jc w:val="both"/>
        <w:rPr>
          <w:rFonts w:ascii="Times New Roman" w:hAnsi="Times New Roman" w:cs="Times New Roman"/>
          <w:sz w:val="24"/>
        </w:rPr>
      </w:pPr>
      <w:r>
        <w:rPr>
          <w:rFonts w:ascii="Times New Roman" w:hAnsi="Times New Roman" w:cs="Times New Roman"/>
          <w:sz w:val="24"/>
        </w:rPr>
        <w:t>O let me go with thee, and die with thee,</w:t>
      </w:r>
    </w:p>
    <w:p w14:paraId="57CD4DF2" w14:textId="02921DBC" w:rsidR="00C0048E" w:rsidRDefault="00C0048E"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Nothing shall thy Cornelia grievous </w:t>
      </w:r>
      <w:proofErr w:type="spellStart"/>
      <w:r>
        <w:rPr>
          <w:rFonts w:ascii="Times New Roman" w:hAnsi="Times New Roman" w:cs="Times New Roman"/>
          <w:sz w:val="24"/>
        </w:rPr>
        <w:t>thinke</w:t>
      </w:r>
      <w:proofErr w:type="spellEnd"/>
    </w:p>
    <w:p w14:paraId="3A8B5A89" w14:textId="78A3481E" w:rsidR="00C0048E" w:rsidRDefault="00C0048E"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That </w:t>
      </w:r>
      <w:proofErr w:type="spellStart"/>
      <w:r>
        <w:rPr>
          <w:rFonts w:ascii="Times New Roman" w:hAnsi="Times New Roman" w:cs="Times New Roman"/>
          <w:sz w:val="24"/>
        </w:rPr>
        <w:t>shee</w:t>
      </w:r>
      <w:proofErr w:type="spellEnd"/>
      <w:r>
        <w:rPr>
          <w:rFonts w:ascii="Times New Roman" w:hAnsi="Times New Roman" w:cs="Times New Roman"/>
          <w:sz w:val="24"/>
        </w:rPr>
        <w:t xml:space="preserve"> endures for her </w:t>
      </w:r>
      <w:proofErr w:type="spellStart"/>
      <w:r>
        <w:rPr>
          <w:rFonts w:ascii="Times New Roman" w:hAnsi="Times New Roman" w:cs="Times New Roman"/>
          <w:sz w:val="24"/>
        </w:rPr>
        <w:t>sweete</w:t>
      </w:r>
      <w:proofErr w:type="spellEnd"/>
      <w:r>
        <w:rPr>
          <w:rFonts w:ascii="Times New Roman" w:hAnsi="Times New Roman" w:cs="Times New Roman"/>
          <w:sz w:val="24"/>
        </w:rPr>
        <w:t xml:space="preserve"> </w:t>
      </w:r>
      <w:proofErr w:type="spellStart"/>
      <w:r>
        <w:rPr>
          <w:rFonts w:ascii="Times New Roman" w:hAnsi="Times New Roman" w:cs="Times New Roman"/>
          <w:sz w:val="24"/>
        </w:rPr>
        <w:t>Pompeys</w:t>
      </w:r>
      <w:proofErr w:type="spellEnd"/>
      <w:r>
        <w:rPr>
          <w:rFonts w:ascii="Times New Roman" w:hAnsi="Times New Roman" w:cs="Times New Roman"/>
          <w:sz w:val="24"/>
        </w:rPr>
        <w:t xml:space="preserve"> sake.</w:t>
      </w:r>
      <w:r>
        <w:rPr>
          <w:rStyle w:val="FootnoteReference"/>
          <w:rFonts w:ascii="Times New Roman" w:hAnsi="Times New Roman" w:cs="Times New Roman"/>
          <w:sz w:val="24"/>
        </w:rPr>
        <w:footnoteReference w:id="33"/>
      </w:r>
    </w:p>
    <w:p w14:paraId="56066FDA" w14:textId="7AEA36D7" w:rsidR="00C0048E" w:rsidRPr="00C0048E" w:rsidRDefault="00D26EDD" w:rsidP="002D58FB">
      <w:pPr>
        <w:spacing w:line="240" w:lineRule="auto"/>
        <w:jc w:val="both"/>
        <w:rPr>
          <w:rFonts w:ascii="Times New Roman" w:hAnsi="Times New Roman" w:cs="Times New Roman"/>
          <w:sz w:val="24"/>
        </w:rPr>
      </w:pPr>
      <w:r>
        <w:rPr>
          <w:rFonts w:ascii="Times New Roman" w:hAnsi="Times New Roman" w:cs="Times New Roman"/>
          <w:sz w:val="24"/>
        </w:rPr>
        <w:t>In her second and final scen</w:t>
      </w:r>
      <w:r w:rsidR="00482998">
        <w:rPr>
          <w:rFonts w:ascii="Times New Roman" w:hAnsi="Times New Roman" w:cs="Times New Roman"/>
          <w:sz w:val="24"/>
        </w:rPr>
        <w:t>e,</w:t>
      </w:r>
      <w:r w:rsidR="0064117F">
        <w:rPr>
          <w:rFonts w:ascii="Times New Roman" w:hAnsi="Times New Roman" w:cs="Times New Roman"/>
          <w:sz w:val="24"/>
        </w:rPr>
        <w:t xml:space="preserve"> the Cornelia of </w:t>
      </w:r>
      <w:r w:rsidR="0064117F">
        <w:rPr>
          <w:rFonts w:ascii="Times New Roman" w:hAnsi="Times New Roman" w:cs="Times New Roman"/>
          <w:i/>
          <w:sz w:val="24"/>
        </w:rPr>
        <w:t xml:space="preserve">Caesar’s Revenge </w:t>
      </w:r>
      <w:r w:rsidR="0064117F">
        <w:rPr>
          <w:rFonts w:ascii="Times New Roman" w:hAnsi="Times New Roman" w:cs="Times New Roman"/>
          <w:sz w:val="24"/>
        </w:rPr>
        <w:t>kills herself to prove the devotion of her grief</w:t>
      </w:r>
      <w:r w:rsidR="002E62B1">
        <w:rPr>
          <w:rFonts w:ascii="Times New Roman" w:hAnsi="Times New Roman" w:cs="Times New Roman"/>
          <w:sz w:val="24"/>
        </w:rPr>
        <w:t xml:space="preserve"> for Pompey</w:t>
      </w:r>
      <w:r w:rsidR="0064117F">
        <w:rPr>
          <w:rFonts w:ascii="Times New Roman" w:hAnsi="Times New Roman" w:cs="Times New Roman"/>
          <w:sz w:val="24"/>
        </w:rPr>
        <w:t xml:space="preserve"> beyond ‘womanish exclamations.’</w:t>
      </w:r>
      <w:r w:rsidR="0064117F">
        <w:rPr>
          <w:rStyle w:val="FootnoteReference"/>
          <w:rFonts w:ascii="Times New Roman" w:hAnsi="Times New Roman" w:cs="Times New Roman"/>
          <w:sz w:val="24"/>
        </w:rPr>
        <w:footnoteReference w:id="34"/>
      </w:r>
      <w:r w:rsidR="0064117F">
        <w:rPr>
          <w:rFonts w:ascii="Times New Roman" w:hAnsi="Times New Roman" w:cs="Times New Roman"/>
          <w:sz w:val="24"/>
        </w:rPr>
        <w:t xml:space="preserve"> </w:t>
      </w:r>
      <w:r w:rsidR="00C0048E">
        <w:rPr>
          <w:rFonts w:ascii="Times New Roman" w:hAnsi="Times New Roman" w:cs="Times New Roman"/>
          <w:sz w:val="24"/>
        </w:rPr>
        <w:t xml:space="preserve">The image of Cornelia in literary culture from </w:t>
      </w:r>
      <w:proofErr w:type="spellStart"/>
      <w:r w:rsidR="00C0048E">
        <w:rPr>
          <w:rFonts w:ascii="Times New Roman" w:hAnsi="Times New Roman" w:cs="Times New Roman"/>
          <w:sz w:val="24"/>
        </w:rPr>
        <w:t>Hoby’s</w:t>
      </w:r>
      <w:proofErr w:type="spellEnd"/>
      <w:r w:rsidR="00C0048E">
        <w:rPr>
          <w:rFonts w:ascii="Times New Roman" w:hAnsi="Times New Roman" w:cs="Times New Roman"/>
          <w:sz w:val="24"/>
        </w:rPr>
        <w:t xml:space="preserve"> Castiglione to Kyd’s </w:t>
      </w:r>
      <w:r w:rsidR="00417AEC">
        <w:rPr>
          <w:rFonts w:ascii="Times New Roman" w:hAnsi="Times New Roman" w:cs="Times New Roman"/>
          <w:sz w:val="24"/>
        </w:rPr>
        <w:t>Garnier</w:t>
      </w:r>
      <w:r w:rsidR="00C0048E">
        <w:rPr>
          <w:rFonts w:ascii="Times New Roman" w:hAnsi="Times New Roman" w:cs="Times New Roman"/>
          <w:sz w:val="24"/>
        </w:rPr>
        <w:t xml:space="preserve"> to </w:t>
      </w:r>
      <w:r w:rsidR="00C0048E">
        <w:rPr>
          <w:rFonts w:ascii="Times New Roman" w:hAnsi="Times New Roman" w:cs="Times New Roman"/>
          <w:i/>
          <w:sz w:val="24"/>
        </w:rPr>
        <w:t>Caesar’s Revenge</w:t>
      </w:r>
      <w:r w:rsidR="008D43A7">
        <w:rPr>
          <w:rFonts w:ascii="Times New Roman" w:hAnsi="Times New Roman" w:cs="Times New Roman"/>
          <w:sz w:val="24"/>
        </w:rPr>
        <w:t xml:space="preserve"> therefore</w:t>
      </w:r>
      <w:r w:rsidR="00C0048E">
        <w:rPr>
          <w:rFonts w:ascii="Times New Roman" w:hAnsi="Times New Roman" w:cs="Times New Roman"/>
          <w:sz w:val="24"/>
        </w:rPr>
        <w:t xml:space="preserve"> is that of a woman whose life is one of</w:t>
      </w:r>
      <w:r w:rsidR="00417AEC">
        <w:rPr>
          <w:rFonts w:ascii="Times New Roman" w:hAnsi="Times New Roman" w:cs="Times New Roman"/>
          <w:sz w:val="24"/>
        </w:rPr>
        <w:t xml:space="preserve"> </w:t>
      </w:r>
      <w:r w:rsidR="00C0048E">
        <w:rPr>
          <w:rFonts w:ascii="Times New Roman" w:hAnsi="Times New Roman" w:cs="Times New Roman"/>
          <w:sz w:val="24"/>
        </w:rPr>
        <w:t>constant devotion to her husband, in line with the moral pronouncements of writers on female virtue.</w:t>
      </w:r>
    </w:p>
    <w:p w14:paraId="39B63EC9" w14:textId="696F9064" w:rsidR="007A5EED" w:rsidRDefault="007A5EED" w:rsidP="002D58FB">
      <w:pPr>
        <w:spacing w:line="240" w:lineRule="auto"/>
        <w:jc w:val="both"/>
        <w:rPr>
          <w:rFonts w:ascii="Times New Roman" w:hAnsi="Times New Roman" w:cs="Times New Roman"/>
          <w:sz w:val="24"/>
        </w:rPr>
      </w:pPr>
      <w:r>
        <w:rPr>
          <w:rFonts w:ascii="Times New Roman" w:hAnsi="Times New Roman" w:cs="Times New Roman"/>
          <w:sz w:val="24"/>
        </w:rPr>
        <w:lastRenderedPageBreak/>
        <w:t>Brandon’s Octavia displays similar constan</w:t>
      </w:r>
      <w:r w:rsidR="00464E1D">
        <w:rPr>
          <w:rFonts w:ascii="Times New Roman" w:hAnsi="Times New Roman" w:cs="Times New Roman"/>
          <w:sz w:val="24"/>
        </w:rPr>
        <w:t>cy</w:t>
      </w:r>
      <w:r>
        <w:rPr>
          <w:rFonts w:ascii="Times New Roman" w:hAnsi="Times New Roman" w:cs="Times New Roman"/>
          <w:sz w:val="24"/>
        </w:rPr>
        <w:t xml:space="preserve"> with regards to her husband under testing, albeit very different, circumstances</w:t>
      </w:r>
      <w:r w:rsidR="00102437">
        <w:rPr>
          <w:rFonts w:ascii="Times New Roman" w:hAnsi="Times New Roman" w:cs="Times New Roman"/>
          <w:sz w:val="24"/>
        </w:rPr>
        <w:t>, namely</w:t>
      </w:r>
      <w:r w:rsidR="003D0B81">
        <w:rPr>
          <w:rFonts w:ascii="Times New Roman" w:hAnsi="Times New Roman" w:cs="Times New Roman"/>
          <w:sz w:val="24"/>
        </w:rPr>
        <w:t xml:space="preserve"> Antony’s </w:t>
      </w:r>
      <w:r w:rsidR="00EF72C3">
        <w:rPr>
          <w:rFonts w:ascii="Times New Roman" w:hAnsi="Times New Roman" w:cs="Times New Roman"/>
          <w:sz w:val="24"/>
        </w:rPr>
        <w:t>infidelity.</w:t>
      </w:r>
      <w:r w:rsidR="00DD13F5">
        <w:rPr>
          <w:rFonts w:ascii="Times New Roman" w:hAnsi="Times New Roman" w:cs="Times New Roman"/>
          <w:sz w:val="24"/>
        </w:rPr>
        <w:t xml:space="preserve"> Octavian wants to declare war on Antony </w:t>
      </w:r>
      <w:r w:rsidR="00417AEC">
        <w:rPr>
          <w:rFonts w:ascii="Times New Roman" w:hAnsi="Times New Roman" w:cs="Times New Roman"/>
          <w:sz w:val="24"/>
        </w:rPr>
        <w:t>to</w:t>
      </w:r>
      <w:r w:rsidR="00DD13F5">
        <w:rPr>
          <w:rFonts w:ascii="Times New Roman" w:hAnsi="Times New Roman" w:cs="Times New Roman"/>
          <w:sz w:val="24"/>
        </w:rPr>
        <w:t xml:space="preserve"> revenge the mistreatment of his sister, but Octavia restrain</w:t>
      </w:r>
      <w:r w:rsidR="005A45AF">
        <w:rPr>
          <w:rFonts w:ascii="Times New Roman" w:hAnsi="Times New Roman" w:cs="Times New Roman"/>
          <w:sz w:val="24"/>
        </w:rPr>
        <w:t>s</w:t>
      </w:r>
      <w:r w:rsidR="00DD13F5">
        <w:rPr>
          <w:rFonts w:ascii="Times New Roman" w:hAnsi="Times New Roman" w:cs="Times New Roman"/>
          <w:sz w:val="24"/>
        </w:rPr>
        <w:t xml:space="preserve"> him</w:t>
      </w:r>
      <w:r w:rsidR="00464E1D">
        <w:rPr>
          <w:rFonts w:ascii="Times New Roman" w:hAnsi="Times New Roman" w:cs="Times New Roman"/>
          <w:sz w:val="24"/>
        </w:rPr>
        <w:t>,</w:t>
      </w:r>
      <w:r w:rsidR="00DD13F5">
        <w:rPr>
          <w:rFonts w:ascii="Times New Roman" w:hAnsi="Times New Roman" w:cs="Times New Roman"/>
          <w:sz w:val="24"/>
        </w:rPr>
        <w:t xml:space="preserve"> hoping that Antony will return to her and</w:t>
      </w:r>
      <w:r w:rsidR="00024F95">
        <w:rPr>
          <w:rFonts w:ascii="Times New Roman" w:hAnsi="Times New Roman" w:cs="Times New Roman"/>
          <w:sz w:val="24"/>
        </w:rPr>
        <w:t xml:space="preserve"> saying that </w:t>
      </w:r>
      <w:r w:rsidR="00DD13F5">
        <w:rPr>
          <w:rFonts w:ascii="Times New Roman" w:hAnsi="Times New Roman" w:cs="Times New Roman"/>
          <w:sz w:val="24"/>
        </w:rPr>
        <w:t xml:space="preserve">she </w:t>
      </w:r>
      <w:r w:rsidR="000170AD">
        <w:rPr>
          <w:rFonts w:ascii="Times New Roman" w:hAnsi="Times New Roman" w:cs="Times New Roman"/>
          <w:sz w:val="24"/>
        </w:rPr>
        <w:t>does</w:t>
      </w:r>
      <w:r w:rsidR="00DD13F5">
        <w:rPr>
          <w:rFonts w:ascii="Times New Roman" w:hAnsi="Times New Roman" w:cs="Times New Roman"/>
          <w:sz w:val="24"/>
        </w:rPr>
        <w:t xml:space="preserve"> not want revenge. Octavian </w:t>
      </w:r>
      <w:r w:rsidR="00EE7C49">
        <w:rPr>
          <w:rFonts w:ascii="Times New Roman" w:hAnsi="Times New Roman" w:cs="Times New Roman"/>
          <w:sz w:val="24"/>
        </w:rPr>
        <w:t>backs down</w:t>
      </w:r>
      <w:r w:rsidR="00DD13F5">
        <w:rPr>
          <w:rFonts w:ascii="Times New Roman" w:hAnsi="Times New Roman" w:cs="Times New Roman"/>
          <w:sz w:val="24"/>
        </w:rPr>
        <w:t>, saying</w:t>
      </w:r>
    </w:p>
    <w:p w14:paraId="1F937186" w14:textId="77777777" w:rsidR="00DD13F5" w:rsidRDefault="00DD13F5"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Well sister, then I see that </w:t>
      </w:r>
      <w:proofErr w:type="spellStart"/>
      <w:r>
        <w:rPr>
          <w:rFonts w:ascii="Times New Roman" w:hAnsi="Times New Roman" w:cs="Times New Roman"/>
          <w:sz w:val="24"/>
        </w:rPr>
        <w:t>constancie</w:t>
      </w:r>
      <w:proofErr w:type="spellEnd"/>
    </w:p>
    <w:p w14:paraId="7676E69C" w14:textId="77777777" w:rsidR="00DD13F5" w:rsidRDefault="00DD13F5"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Is sometimes seated in a </w:t>
      </w:r>
      <w:proofErr w:type="spellStart"/>
      <w:r>
        <w:rPr>
          <w:rFonts w:ascii="Times New Roman" w:hAnsi="Times New Roman" w:cs="Times New Roman"/>
          <w:sz w:val="24"/>
        </w:rPr>
        <w:t>womans</w:t>
      </w:r>
      <w:proofErr w:type="spellEnd"/>
      <w:r>
        <w:rPr>
          <w:rFonts w:ascii="Times New Roman" w:hAnsi="Times New Roman" w:cs="Times New Roman"/>
          <w:sz w:val="24"/>
        </w:rPr>
        <w:t xml:space="preserve"> </w:t>
      </w:r>
      <w:proofErr w:type="spellStart"/>
      <w:r>
        <w:rPr>
          <w:rFonts w:ascii="Times New Roman" w:hAnsi="Times New Roman" w:cs="Times New Roman"/>
          <w:sz w:val="24"/>
        </w:rPr>
        <w:t>brest</w:t>
      </w:r>
      <w:proofErr w:type="spellEnd"/>
      <w:r>
        <w:rPr>
          <w:rFonts w:ascii="Times New Roman" w:hAnsi="Times New Roman" w:cs="Times New Roman"/>
          <w:sz w:val="24"/>
        </w:rPr>
        <w:t>.</w:t>
      </w:r>
      <w:r w:rsidR="00D6736E">
        <w:rPr>
          <w:rStyle w:val="FootnoteReference"/>
          <w:rFonts w:ascii="Times New Roman" w:hAnsi="Times New Roman" w:cs="Times New Roman"/>
          <w:sz w:val="24"/>
        </w:rPr>
        <w:footnoteReference w:id="35"/>
      </w:r>
    </w:p>
    <w:p w14:paraId="6A7DD37F" w14:textId="77777777" w:rsidR="00730C7A" w:rsidRDefault="00DD13F5" w:rsidP="002D58FB">
      <w:pPr>
        <w:spacing w:line="240" w:lineRule="auto"/>
        <w:jc w:val="both"/>
        <w:rPr>
          <w:rFonts w:ascii="Times New Roman" w:hAnsi="Times New Roman" w:cs="Times New Roman"/>
          <w:sz w:val="24"/>
        </w:rPr>
      </w:pPr>
      <w:r>
        <w:rPr>
          <w:rFonts w:ascii="Times New Roman" w:hAnsi="Times New Roman" w:cs="Times New Roman"/>
          <w:sz w:val="24"/>
        </w:rPr>
        <w:t xml:space="preserve">Even after Antony’s </w:t>
      </w:r>
      <w:r w:rsidR="00D6736E">
        <w:rPr>
          <w:rFonts w:ascii="Times New Roman" w:hAnsi="Times New Roman" w:cs="Times New Roman"/>
          <w:sz w:val="24"/>
        </w:rPr>
        <w:t xml:space="preserve">suicide Octavia </w:t>
      </w:r>
      <w:r w:rsidR="00555869">
        <w:rPr>
          <w:rFonts w:ascii="Times New Roman" w:hAnsi="Times New Roman" w:cs="Times New Roman"/>
          <w:sz w:val="24"/>
        </w:rPr>
        <w:t>remains</w:t>
      </w:r>
      <w:r w:rsidR="00D6736E">
        <w:rPr>
          <w:rFonts w:ascii="Times New Roman" w:hAnsi="Times New Roman" w:cs="Times New Roman"/>
          <w:sz w:val="24"/>
        </w:rPr>
        <w:t xml:space="preserve"> loyal wishing that she had died in his place.</w:t>
      </w:r>
      <w:r w:rsidR="00D6736E">
        <w:rPr>
          <w:rStyle w:val="FootnoteReference"/>
          <w:rFonts w:ascii="Times New Roman" w:hAnsi="Times New Roman" w:cs="Times New Roman"/>
          <w:sz w:val="24"/>
        </w:rPr>
        <w:footnoteReference w:id="36"/>
      </w:r>
      <w:r w:rsidR="00D6736E">
        <w:rPr>
          <w:rFonts w:ascii="Times New Roman" w:hAnsi="Times New Roman" w:cs="Times New Roman"/>
          <w:sz w:val="24"/>
        </w:rPr>
        <w:t xml:space="preserve"> The play operates on a more fundamental level as a play of contrasts: Octavia’s constancy is compared favourably with the inconstancy of Antony, Cleopatra and Sylvia, who</w:t>
      </w:r>
      <w:r w:rsidR="00417AEC">
        <w:rPr>
          <w:rFonts w:ascii="Times New Roman" w:hAnsi="Times New Roman" w:cs="Times New Roman"/>
          <w:sz w:val="24"/>
        </w:rPr>
        <w:t>se only</w:t>
      </w:r>
      <w:r w:rsidR="00D6736E">
        <w:rPr>
          <w:rFonts w:ascii="Times New Roman" w:hAnsi="Times New Roman" w:cs="Times New Roman"/>
          <w:sz w:val="24"/>
        </w:rPr>
        <w:t xml:space="preserve"> descri</w:t>
      </w:r>
      <w:r w:rsidR="00417AEC">
        <w:rPr>
          <w:rFonts w:ascii="Times New Roman" w:hAnsi="Times New Roman" w:cs="Times New Roman"/>
          <w:sz w:val="24"/>
        </w:rPr>
        <w:t>ption</w:t>
      </w:r>
      <w:r w:rsidR="00D6736E">
        <w:rPr>
          <w:rFonts w:ascii="Times New Roman" w:hAnsi="Times New Roman" w:cs="Times New Roman"/>
          <w:sz w:val="24"/>
        </w:rPr>
        <w:t xml:space="preserve"> in the cast list</w:t>
      </w:r>
      <w:r w:rsidR="00E51425">
        <w:rPr>
          <w:rFonts w:ascii="Times New Roman" w:hAnsi="Times New Roman" w:cs="Times New Roman"/>
          <w:sz w:val="24"/>
        </w:rPr>
        <w:t xml:space="preserve"> </w:t>
      </w:r>
      <w:r w:rsidR="00417AEC">
        <w:rPr>
          <w:rFonts w:ascii="Times New Roman" w:hAnsi="Times New Roman" w:cs="Times New Roman"/>
          <w:sz w:val="24"/>
        </w:rPr>
        <w:t>is</w:t>
      </w:r>
      <w:r w:rsidR="00D6736E">
        <w:rPr>
          <w:rFonts w:ascii="Times New Roman" w:hAnsi="Times New Roman" w:cs="Times New Roman"/>
          <w:sz w:val="24"/>
        </w:rPr>
        <w:t xml:space="preserve"> ‘a licentious woman.’</w:t>
      </w:r>
      <w:r w:rsidR="00D6736E">
        <w:rPr>
          <w:rStyle w:val="FootnoteReference"/>
          <w:rFonts w:ascii="Times New Roman" w:hAnsi="Times New Roman" w:cs="Times New Roman"/>
          <w:sz w:val="24"/>
        </w:rPr>
        <w:footnoteReference w:id="37"/>
      </w:r>
      <w:r w:rsidR="00D6736E">
        <w:rPr>
          <w:rFonts w:ascii="Times New Roman" w:hAnsi="Times New Roman" w:cs="Times New Roman"/>
          <w:sz w:val="24"/>
        </w:rPr>
        <w:t xml:space="preserve"> </w:t>
      </w:r>
    </w:p>
    <w:p w14:paraId="436ED1E1" w14:textId="5F50B26B" w:rsidR="00F57988" w:rsidRDefault="00D6736E" w:rsidP="002D58FB">
      <w:pPr>
        <w:spacing w:line="240" w:lineRule="auto"/>
        <w:jc w:val="both"/>
        <w:rPr>
          <w:rFonts w:ascii="Times New Roman" w:hAnsi="Times New Roman" w:cs="Times New Roman"/>
          <w:sz w:val="24"/>
        </w:rPr>
      </w:pPr>
      <w:r>
        <w:rPr>
          <w:rFonts w:ascii="Times New Roman" w:hAnsi="Times New Roman" w:cs="Times New Roman"/>
          <w:sz w:val="24"/>
        </w:rPr>
        <w:t>Sylvia is</w:t>
      </w:r>
      <w:r w:rsidR="00555869">
        <w:rPr>
          <w:rFonts w:ascii="Times New Roman" w:hAnsi="Times New Roman" w:cs="Times New Roman"/>
          <w:sz w:val="24"/>
        </w:rPr>
        <w:t xml:space="preserve"> </w:t>
      </w:r>
      <w:r>
        <w:rPr>
          <w:rFonts w:ascii="Times New Roman" w:hAnsi="Times New Roman" w:cs="Times New Roman"/>
          <w:sz w:val="24"/>
        </w:rPr>
        <w:t>the most radical of Brandon’s characters,</w:t>
      </w:r>
      <w:r w:rsidR="00417AEC">
        <w:rPr>
          <w:rFonts w:ascii="Times New Roman" w:hAnsi="Times New Roman" w:cs="Times New Roman"/>
          <w:sz w:val="24"/>
        </w:rPr>
        <w:t xml:space="preserve"> e</w:t>
      </w:r>
      <w:r>
        <w:rPr>
          <w:rFonts w:ascii="Times New Roman" w:hAnsi="Times New Roman" w:cs="Times New Roman"/>
          <w:sz w:val="24"/>
        </w:rPr>
        <w:t>s</w:t>
      </w:r>
      <w:r w:rsidR="00417AEC">
        <w:rPr>
          <w:rFonts w:ascii="Times New Roman" w:hAnsi="Times New Roman" w:cs="Times New Roman"/>
          <w:sz w:val="24"/>
        </w:rPr>
        <w:t xml:space="preserve">pecially since she is </w:t>
      </w:r>
      <w:r w:rsidR="008E47C9">
        <w:rPr>
          <w:rFonts w:ascii="Times New Roman" w:hAnsi="Times New Roman" w:cs="Times New Roman"/>
          <w:sz w:val="24"/>
        </w:rPr>
        <w:t>entirely invented</w:t>
      </w:r>
      <w:r>
        <w:rPr>
          <w:rFonts w:ascii="Times New Roman" w:hAnsi="Times New Roman" w:cs="Times New Roman"/>
          <w:sz w:val="24"/>
        </w:rPr>
        <w:t xml:space="preserve">. </w:t>
      </w:r>
      <w:r w:rsidR="00417AEC">
        <w:rPr>
          <w:rFonts w:ascii="Times New Roman" w:hAnsi="Times New Roman" w:cs="Times New Roman"/>
          <w:sz w:val="24"/>
        </w:rPr>
        <w:t>Alt</w:t>
      </w:r>
      <w:r w:rsidR="00E51425">
        <w:rPr>
          <w:rFonts w:ascii="Times New Roman" w:hAnsi="Times New Roman" w:cs="Times New Roman"/>
          <w:sz w:val="24"/>
        </w:rPr>
        <w:t>hough s</w:t>
      </w:r>
      <w:r>
        <w:rPr>
          <w:rFonts w:ascii="Times New Roman" w:hAnsi="Times New Roman" w:cs="Times New Roman"/>
          <w:sz w:val="24"/>
        </w:rPr>
        <w:t>he only</w:t>
      </w:r>
      <w:r w:rsidR="00E51425">
        <w:rPr>
          <w:rFonts w:ascii="Times New Roman" w:hAnsi="Times New Roman" w:cs="Times New Roman"/>
          <w:sz w:val="24"/>
        </w:rPr>
        <w:t xml:space="preserve"> appears</w:t>
      </w:r>
      <w:r>
        <w:rPr>
          <w:rFonts w:ascii="Times New Roman" w:hAnsi="Times New Roman" w:cs="Times New Roman"/>
          <w:sz w:val="24"/>
        </w:rPr>
        <w:t xml:space="preserve"> in one scene</w:t>
      </w:r>
      <w:r w:rsidR="00E51425">
        <w:rPr>
          <w:rFonts w:ascii="Times New Roman" w:hAnsi="Times New Roman" w:cs="Times New Roman"/>
          <w:sz w:val="24"/>
        </w:rPr>
        <w:t>,</w:t>
      </w:r>
      <w:r>
        <w:rPr>
          <w:rFonts w:ascii="Times New Roman" w:hAnsi="Times New Roman" w:cs="Times New Roman"/>
          <w:sz w:val="24"/>
        </w:rPr>
        <w:t xml:space="preserve"> she mounts a sustained attack on constancy and typical </w:t>
      </w:r>
      <w:r w:rsidR="009D355E">
        <w:rPr>
          <w:rFonts w:ascii="Times New Roman" w:hAnsi="Times New Roman" w:cs="Times New Roman"/>
          <w:sz w:val="24"/>
        </w:rPr>
        <w:t>conceptions</w:t>
      </w:r>
      <w:r>
        <w:rPr>
          <w:rFonts w:ascii="Times New Roman" w:hAnsi="Times New Roman" w:cs="Times New Roman"/>
          <w:sz w:val="24"/>
        </w:rPr>
        <w:t xml:space="preserve"> of female virtue, arguing that ‘</w:t>
      </w:r>
      <w:proofErr w:type="spellStart"/>
      <w:r>
        <w:rPr>
          <w:rFonts w:ascii="Times New Roman" w:hAnsi="Times New Roman" w:cs="Times New Roman"/>
          <w:sz w:val="24"/>
        </w:rPr>
        <w:t>constancie</w:t>
      </w:r>
      <w:proofErr w:type="spellEnd"/>
      <w:r>
        <w:rPr>
          <w:rFonts w:ascii="Times New Roman" w:hAnsi="Times New Roman" w:cs="Times New Roman"/>
          <w:sz w:val="24"/>
        </w:rPr>
        <w:t xml:space="preserve"> is that which </w:t>
      </w:r>
      <w:proofErr w:type="spellStart"/>
      <w:r>
        <w:rPr>
          <w:rFonts w:ascii="Times New Roman" w:hAnsi="Times New Roman" w:cs="Times New Roman"/>
          <w:sz w:val="24"/>
        </w:rPr>
        <w:t>marreth</w:t>
      </w:r>
      <w:proofErr w:type="spellEnd"/>
      <w:r>
        <w:rPr>
          <w:rFonts w:ascii="Times New Roman" w:hAnsi="Times New Roman" w:cs="Times New Roman"/>
          <w:sz w:val="24"/>
        </w:rPr>
        <w:t xml:space="preserve"> all’, enslaving women under husbands who grow tired of their piety and</w:t>
      </w:r>
      <w:r w:rsidR="002A64A1">
        <w:rPr>
          <w:rFonts w:ascii="Times New Roman" w:hAnsi="Times New Roman" w:cs="Times New Roman"/>
          <w:sz w:val="24"/>
        </w:rPr>
        <w:t xml:space="preserve"> so</w:t>
      </w:r>
      <w:r>
        <w:rPr>
          <w:rFonts w:ascii="Times New Roman" w:hAnsi="Times New Roman" w:cs="Times New Roman"/>
          <w:sz w:val="24"/>
        </w:rPr>
        <w:t xml:space="preserve"> seek other women. Sylvia instead proposes that women should play suitors off against each other and never commit to just one man.</w:t>
      </w:r>
      <w:r>
        <w:rPr>
          <w:rStyle w:val="FootnoteReference"/>
          <w:rFonts w:ascii="Times New Roman" w:hAnsi="Times New Roman" w:cs="Times New Roman"/>
          <w:sz w:val="24"/>
        </w:rPr>
        <w:footnoteReference w:id="38"/>
      </w:r>
      <w:r>
        <w:rPr>
          <w:rFonts w:ascii="Times New Roman" w:hAnsi="Times New Roman" w:cs="Times New Roman"/>
          <w:sz w:val="24"/>
        </w:rPr>
        <w:t xml:space="preserve"> Sylvia’s view of female conduct closely resembles the descriptions of Cleopatra in the play, </w:t>
      </w:r>
      <w:r w:rsidR="005265C2">
        <w:rPr>
          <w:rFonts w:ascii="Times New Roman" w:hAnsi="Times New Roman" w:cs="Times New Roman"/>
          <w:sz w:val="24"/>
        </w:rPr>
        <w:t>who has captured Antony with ‘</w:t>
      </w:r>
      <w:proofErr w:type="spellStart"/>
      <w:r w:rsidR="005265C2">
        <w:rPr>
          <w:rFonts w:ascii="Times New Roman" w:hAnsi="Times New Roman" w:cs="Times New Roman"/>
          <w:sz w:val="24"/>
        </w:rPr>
        <w:t>hir</w:t>
      </w:r>
      <w:proofErr w:type="spellEnd"/>
      <w:r w:rsidR="005265C2">
        <w:rPr>
          <w:rFonts w:ascii="Times New Roman" w:hAnsi="Times New Roman" w:cs="Times New Roman"/>
          <w:sz w:val="24"/>
        </w:rPr>
        <w:t xml:space="preserve"> Syren tongue’ and ‘</w:t>
      </w:r>
      <w:proofErr w:type="spellStart"/>
      <w:r w:rsidR="005265C2">
        <w:rPr>
          <w:rFonts w:ascii="Times New Roman" w:hAnsi="Times New Roman" w:cs="Times New Roman"/>
          <w:sz w:val="24"/>
        </w:rPr>
        <w:t>sunne</w:t>
      </w:r>
      <w:proofErr w:type="spellEnd"/>
      <w:r w:rsidR="005265C2">
        <w:rPr>
          <w:rFonts w:ascii="Times New Roman" w:hAnsi="Times New Roman" w:cs="Times New Roman"/>
          <w:sz w:val="24"/>
        </w:rPr>
        <w:t xml:space="preserve">-burnt </w:t>
      </w:r>
      <w:proofErr w:type="spellStart"/>
      <w:r w:rsidR="005265C2">
        <w:rPr>
          <w:rFonts w:ascii="Times New Roman" w:hAnsi="Times New Roman" w:cs="Times New Roman"/>
          <w:sz w:val="24"/>
        </w:rPr>
        <w:t>beautie</w:t>
      </w:r>
      <w:proofErr w:type="spellEnd"/>
      <w:r w:rsidR="005265C2">
        <w:rPr>
          <w:rFonts w:ascii="Times New Roman" w:hAnsi="Times New Roman" w:cs="Times New Roman"/>
          <w:sz w:val="24"/>
        </w:rPr>
        <w:t>.’</w:t>
      </w:r>
      <w:r w:rsidR="005265C2">
        <w:rPr>
          <w:rStyle w:val="FootnoteReference"/>
          <w:rFonts w:ascii="Times New Roman" w:hAnsi="Times New Roman" w:cs="Times New Roman"/>
          <w:sz w:val="24"/>
        </w:rPr>
        <w:footnoteReference w:id="39"/>
      </w:r>
      <w:r w:rsidR="00032E2A">
        <w:rPr>
          <w:rFonts w:ascii="Times New Roman" w:hAnsi="Times New Roman" w:cs="Times New Roman"/>
          <w:sz w:val="24"/>
        </w:rPr>
        <w:t xml:space="preserve"> However, </w:t>
      </w:r>
      <w:r w:rsidR="00ED3979">
        <w:rPr>
          <w:rFonts w:ascii="Times New Roman" w:hAnsi="Times New Roman" w:cs="Times New Roman"/>
          <w:sz w:val="24"/>
        </w:rPr>
        <w:t>al</w:t>
      </w:r>
      <w:r w:rsidR="00032E2A">
        <w:rPr>
          <w:rFonts w:ascii="Times New Roman" w:hAnsi="Times New Roman" w:cs="Times New Roman"/>
          <w:sz w:val="24"/>
        </w:rPr>
        <w:t xml:space="preserve">though Sylvia </w:t>
      </w:r>
      <w:r w:rsidR="00A9242E">
        <w:rPr>
          <w:rFonts w:ascii="Times New Roman" w:hAnsi="Times New Roman" w:cs="Times New Roman"/>
          <w:sz w:val="24"/>
        </w:rPr>
        <w:t>challenge</w:t>
      </w:r>
      <w:r w:rsidR="0099363A">
        <w:rPr>
          <w:rFonts w:ascii="Times New Roman" w:hAnsi="Times New Roman" w:cs="Times New Roman"/>
          <w:sz w:val="24"/>
        </w:rPr>
        <w:t>s</w:t>
      </w:r>
      <w:r w:rsidR="00A9242E">
        <w:rPr>
          <w:rFonts w:ascii="Times New Roman" w:hAnsi="Times New Roman" w:cs="Times New Roman"/>
          <w:sz w:val="24"/>
        </w:rPr>
        <w:t xml:space="preserve"> t</w:t>
      </w:r>
      <w:r w:rsidR="00026988">
        <w:rPr>
          <w:rFonts w:ascii="Times New Roman" w:hAnsi="Times New Roman" w:cs="Times New Roman"/>
          <w:sz w:val="24"/>
        </w:rPr>
        <w:t>ypical</w:t>
      </w:r>
      <w:r w:rsidR="00A9242E">
        <w:rPr>
          <w:rFonts w:ascii="Times New Roman" w:hAnsi="Times New Roman" w:cs="Times New Roman"/>
          <w:sz w:val="24"/>
        </w:rPr>
        <w:t xml:space="preserve"> </w:t>
      </w:r>
      <w:r w:rsidR="00F57988">
        <w:rPr>
          <w:rFonts w:ascii="Times New Roman" w:hAnsi="Times New Roman" w:cs="Times New Roman"/>
          <w:sz w:val="24"/>
        </w:rPr>
        <w:t xml:space="preserve">moralism </w:t>
      </w:r>
      <w:r w:rsidR="00026988">
        <w:rPr>
          <w:rFonts w:ascii="Times New Roman" w:hAnsi="Times New Roman" w:cs="Times New Roman"/>
          <w:sz w:val="24"/>
        </w:rPr>
        <w:t>about</w:t>
      </w:r>
      <w:r w:rsidR="00F57988">
        <w:rPr>
          <w:rFonts w:ascii="Times New Roman" w:hAnsi="Times New Roman" w:cs="Times New Roman"/>
          <w:sz w:val="24"/>
        </w:rPr>
        <w:t xml:space="preserve"> </w:t>
      </w:r>
      <w:r w:rsidR="00607304">
        <w:rPr>
          <w:rFonts w:ascii="Times New Roman" w:hAnsi="Times New Roman" w:cs="Times New Roman"/>
          <w:sz w:val="24"/>
        </w:rPr>
        <w:t>women</w:t>
      </w:r>
      <w:r w:rsidR="00F57988">
        <w:rPr>
          <w:rFonts w:ascii="Times New Roman" w:hAnsi="Times New Roman" w:cs="Times New Roman"/>
          <w:sz w:val="24"/>
        </w:rPr>
        <w:t xml:space="preserve">, her ideas are rejected by Camilla who defends constancy, and therefore Octavia’s </w:t>
      </w:r>
      <w:r w:rsidR="000E4A11">
        <w:rPr>
          <w:rFonts w:ascii="Times New Roman" w:hAnsi="Times New Roman" w:cs="Times New Roman"/>
          <w:sz w:val="24"/>
        </w:rPr>
        <w:t>actions</w:t>
      </w:r>
      <w:r w:rsidR="00F57988">
        <w:rPr>
          <w:rFonts w:ascii="Times New Roman" w:hAnsi="Times New Roman" w:cs="Times New Roman"/>
          <w:sz w:val="24"/>
        </w:rPr>
        <w:t>, by claiming that Sylvia ‘will be punished by the constant Gods’ for her lack of virtue.</w:t>
      </w:r>
      <w:r w:rsidR="00F57988">
        <w:rPr>
          <w:rStyle w:val="FootnoteReference"/>
          <w:rFonts w:ascii="Times New Roman" w:hAnsi="Times New Roman" w:cs="Times New Roman"/>
          <w:sz w:val="24"/>
        </w:rPr>
        <w:footnoteReference w:id="40"/>
      </w:r>
      <w:r w:rsidR="00F57988">
        <w:rPr>
          <w:rFonts w:ascii="Times New Roman" w:hAnsi="Times New Roman" w:cs="Times New Roman"/>
          <w:sz w:val="24"/>
        </w:rPr>
        <w:t xml:space="preserve"> </w:t>
      </w:r>
      <w:r w:rsidR="000124D6">
        <w:rPr>
          <w:rFonts w:ascii="Times New Roman" w:hAnsi="Times New Roman" w:cs="Times New Roman"/>
          <w:sz w:val="24"/>
        </w:rPr>
        <w:t>M</w:t>
      </w:r>
      <w:r w:rsidR="00F57988">
        <w:rPr>
          <w:rFonts w:ascii="Times New Roman" w:hAnsi="Times New Roman" w:cs="Times New Roman"/>
          <w:sz w:val="24"/>
        </w:rPr>
        <w:t>ore practica</w:t>
      </w:r>
      <w:r w:rsidR="000124D6">
        <w:rPr>
          <w:rFonts w:ascii="Times New Roman" w:hAnsi="Times New Roman" w:cs="Times New Roman"/>
          <w:sz w:val="24"/>
        </w:rPr>
        <w:t>lly</w:t>
      </w:r>
      <w:r w:rsidR="00F57988">
        <w:rPr>
          <w:rFonts w:ascii="Times New Roman" w:hAnsi="Times New Roman" w:cs="Times New Roman"/>
          <w:sz w:val="24"/>
        </w:rPr>
        <w:t xml:space="preserve">, Sylvia’s ideas about female virtue are shown to be immoral in Cleopatra’s inconstant flight at the battle of Actium and her later deception concerning her </w:t>
      </w:r>
      <w:r w:rsidR="00417AEC">
        <w:rPr>
          <w:rFonts w:ascii="Times New Roman" w:hAnsi="Times New Roman" w:cs="Times New Roman"/>
          <w:sz w:val="24"/>
        </w:rPr>
        <w:t>death</w:t>
      </w:r>
      <w:r w:rsidR="00607304">
        <w:rPr>
          <w:rFonts w:ascii="Times New Roman" w:hAnsi="Times New Roman" w:cs="Times New Roman"/>
          <w:sz w:val="24"/>
        </w:rPr>
        <w:t xml:space="preserve"> </w:t>
      </w:r>
      <w:r w:rsidR="00E51425">
        <w:rPr>
          <w:rFonts w:ascii="Times New Roman" w:hAnsi="Times New Roman" w:cs="Times New Roman"/>
          <w:sz w:val="24"/>
        </w:rPr>
        <w:t xml:space="preserve">which prompts Antony’s </w:t>
      </w:r>
      <w:r w:rsidR="00417AEC">
        <w:rPr>
          <w:rFonts w:ascii="Times New Roman" w:hAnsi="Times New Roman" w:cs="Times New Roman"/>
          <w:sz w:val="24"/>
        </w:rPr>
        <w:t>suicide</w:t>
      </w:r>
      <w:r w:rsidR="00E50BA8">
        <w:rPr>
          <w:rFonts w:ascii="Times New Roman" w:hAnsi="Times New Roman" w:cs="Times New Roman"/>
          <w:sz w:val="24"/>
        </w:rPr>
        <w:t>:</w:t>
      </w:r>
      <w:r w:rsidR="00E50BA8" w:rsidRPr="00E50BA8">
        <w:rPr>
          <w:rFonts w:ascii="Times New Roman" w:hAnsi="Times New Roman" w:cs="Times New Roman"/>
          <w:sz w:val="24"/>
        </w:rPr>
        <w:t xml:space="preserve"> </w:t>
      </w:r>
      <w:r w:rsidR="00E50BA8">
        <w:rPr>
          <w:rFonts w:ascii="Times New Roman" w:hAnsi="Times New Roman" w:cs="Times New Roman"/>
          <w:sz w:val="24"/>
        </w:rPr>
        <w:t>the conclusion that Antony would have been a lot better off staying with Octavia is inescapable.</w:t>
      </w:r>
      <w:r w:rsidR="00F57988">
        <w:rPr>
          <w:rStyle w:val="FootnoteReference"/>
          <w:rFonts w:ascii="Times New Roman" w:hAnsi="Times New Roman" w:cs="Times New Roman"/>
          <w:sz w:val="24"/>
        </w:rPr>
        <w:footnoteReference w:id="41"/>
      </w:r>
      <w:r w:rsidR="00F57988">
        <w:rPr>
          <w:rFonts w:ascii="Times New Roman" w:hAnsi="Times New Roman" w:cs="Times New Roman"/>
          <w:sz w:val="24"/>
        </w:rPr>
        <w:t xml:space="preserve"> The presence of conflicting views about female morality thus only serves to show </w:t>
      </w:r>
      <w:r w:rsidR="00417AEC">
        <w:rPr>
          <w:rFonts w:ascii="Times New Roman" w:hAnsi="Times New Roman" w:cs="Times New Roman"/>
          <w:sz w:val="24"/>
        </w:rPr>
        <w:t>how laudable Octavia’s virtue is</w:t>
      </w:r>
      <w:r w:rsidR="00F57988">
        <w:rPr>
          <w:rFonts w:ascii="Times New Roman" w:hAnsi="Times New Roman" w:cs="Times New Roman"/>
          <w:sz w:val="24"/>
        </w:rPr>
        <w:t>. The chorus at the end of the play</w:t>
      </w:r>
      <w:r w:rsidR="00E51425">
        <w:rPr>
          <w:rFonts w:ascii="Times New Roman" w:hAnsi="Times New Roman" w:cs="Times New Roman"/>
          <w:sz w:val="24"/>
        </w:rPr>
        <w:t xml:space="preserve"> emphasise</w:t>
      </w:r>
      <w:r w:rsidR="00EE7C49">
        <w:rPr>
          <w:rFonts w:ascii="Times New Roman" w:hAnsi="Times New Roman" w:cs="Times New Roman"/>
          <w:sz w:val="24"/>
        </w:rPr>
        <w:t>s</w:t>
      </w:r>
      <w:r w:rsidR="00E51425">
        <w:rPr>
          <w:rFonts w:ascii="Times New Roman" w:hAnsi="Times New Roman" w:cs="Times New Roman"/>
          <w:sz w:val="24"/>
        </w:rPr>
        <w:t xml:space="preserve"> this, suggesting that</w:t>
      </w:r>
      <w:r w:rsidR="00F57988">
        <w:rPr>
          <w:rFonts w:ascii="Times New Roman" w:hAnsi="Times New Roman" w:cs="Times New Roman"/>
          <w:sz w:val="24"/>
        </w:rPr>
        <w:t xml:space="preserve"> Octavia</w:t>
      </w:r>
      <w:r w:rsidR="00383BE5">
        <w:rPr>
          <w:rFonts w:ascii="Times New Roman" w:hAnsi="Times New Roman" w:cs="Times New Roman"/>
          <w:sz w:val="24"/>
        </w:rPr>
        <w:t>’s</w:t>
      </w:r>
      <w:r w:rsidR="00F57988">
        <w:rPr>
          <w:rFonts w:ascii="Times New Roman" w:hAnsi="Times New Roman" w:cs="Times New Roman"/>
          <w:sz w:val="24"/>
        </w:rPr>
        <w:t xml:space="preserve"> constan</w:t>
      </w:r>
      <w:r w:rsidR="00E13EFA">
        <w:rPr>
          <w:rFonts w:ascii="Times New Roman" w:hAnsi="Times New Roman" w:cs="Times New Roman"/>
          <w:sz w:val="24"/>
        </w:rPr>
        <w:t>cy</w:t>
      </w:r>
      <w:r w:rsidR="00F57988">
        <w:rPr>
          <w:rFonts w:ascii="Times New Roman" w:hAnsi="Times New Roman" w:cs="Times New Roman"/>
          <w:sz w:val="24"/>
        </w:rPr>
        <w:t xml:space="preserve"> </w:t>
      </w:r>
      <w:r w:rsidR="00E13EFA">
        <w:rPr>
          <w:rFonts w:ascii="Times New Roman" w:hAnsi="Times New Roman" w:cs="Times New Roman"/>
          <w:sz w:val="24"/>
        </w:rPr>
        <w:t>a</w:t>
      </w:r>
      <w:r w:rsidR="00C708E1">
        <w:rPr>
          <w:rFonts w:ascii="Times New Roman" w:hAnsi="Times New Roman" w:cs="Times New Roman"/>
          <w:sz w:val="24"/>
        </w:rPr>
        <w:t>midst great</w:t>
      </w:r>
      <w:r w:rsidR="00F57988">
        <w:rPr>
          <w:rFonts w:ascii="Times New Roman" w:hAnsi="Times New Roman" w:cs="Times New Roman"/>
          <w:sz w:val="24"/>
        </w:rPr>
        <w:t xml:space="preserve"> evil</w:t>
      </w:r>
      <w:r w:rsidR="00E13EFA">
        <w:rPr>
          <w:rFonts w:ascii="Times New Roman" w:hAnsi="Times New Roman" w:cs="Times New Roman"/>
          <w:sz w:val="24"/>
        </w:rPr>
        <w:t xml:space="preserve"> means</w:t>
      </w:r>
      <w:r w:rsidR="00F57988">
        <w:rPr>
          <w:rFonts w:ascii="Times New Roman" w:hAnsi="Times New Roman" w:cs="Times New Roman"/>
          <w:sz w:val="24"/>
        </w:rPr>
        <w:t xml:space="preserve"> there is no excuse for any other woman not to</w:t>
      </w:r>
      <w:r w:rsidR="00E13EFA">
        <w:rPr>
          <w:rFonts w:ascii="Times New Roman" w:hAnsi="Times New Roman" w:cs="Times New Roman"/>
          <w:sz w:val="24"/>
        </w:rPr>
        <w:t xml:space="preserve"> </w:t>
      </w:r>
      <w:r w:rsidR="00383BE5">
        <w:rPr>
          <w:rFonts w:ascii="Times New Roman" w:hAnsi="Times New Roman" w:cs="Times New Roman"/>
          <w:sz w:val="24"/>
        </w:rPr>
        <w:t>do the same</w:t>
      </w:r>
      <w:r w:rsidR="00A75DE9">
        <w:rPr>
          <w:rFonts w:ascii="Times New Roman" w:hAnsi="Times New Roman" w:cs="Times New Roman"/>
          <w:sz w:val="24"/>
        </w:rPr>
        <w:t>:</w:t>
      </w:r>
    </w:p>
    <w:p w14:paraId="718EB0A4" w14:textId="77777777" w:rsidR="00F57988" w:rsidRDefault="00F57988"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She was what heaven </w:t>
      </w:r>
      <w:proofErr w:type="spellStart"/>
      <w:r>
        <w:rPr>
          <w:rFonts w:ascii="Times New Roman" w:hAnsi="Times New Roman" w:cs="Times New Roman"/>
          <w:sz w:val="24"/>
        </w:rPr>
        <w:t>requireth</w:t>
      </w:r>
      <w:proofErr w:type="spellEnd"/>
      <w:r>
        <w:rPr>
          <w:rFonts w:ascii="Times New Roman" w:hAnsi="Times New Roman" w:cs="Times New Roman"/>
          <w:sz w:val="24"/>
        </w:rPr>
        <w:t>.</w:t>
      </w:r>
    </w:p>
    <w:p w14:paraId="0A1B6C42" w14:textId="77777777" w:rsidR="00F57988" w:rsidRDefault="00F57988" w:rsidP="002D58FB">
      <w:pPr>
        <w:spacing w:line="240" w:lineRule="auto"/>
        <w:ind w:left="720"/>
        <w:jc w:val="both"/>
        <w:rPr>
          <w:rFonts w:ascii="Times New Roman" w:hAnsi="Times New Roman" w:cs="Times New Roman"/>
          <w:sz w:val="24"/>
        </w:rPr>
      </w:pPr>
      <w:r>
        <w:rPr>
          <w:rFonts w:ascii="Times New Roman" w:hAnsi="Times New Roman" w:cs="Times New Roman"/>
          <w:sz w:val="24"/>
        </w:rPr>
        <w:t>How through affliction great,</w:t>
      </w:r>
    </w:p>
    <w:p w14:paraId="5914CA03" w14:textId="77777777" w:rsidR="00F57988" w:rsidRDefault="00F57988" w:rsidP="002D58FB">
      <w:pPr>
        <w:spacing w:line="240" w:lineRule="auto"/>
        <w:ind w:left="720"/>
        <w:jc w:val="both"/>
        <w:rPr>
          <w:rFonts w:ascii="Times New Roman" w:hAnsi="Times New Roman" w:cs="Times New Roman"/>
          <w:sz w:val="24"/>
        </w:rPr>
      </w:pPr>
      <w:r>
        <w:rPr>
          <w:rFonts w:ascii="Times New Roman" w:hAnsi="Times New Roman" w:cs="Times New Roman"/>
          <w:sz w:val="24"/>
        </w:rPr>
        <w:t>Great troubles and annoy:</w:t>
      </w:r>
    </w:p>
    <w:p w14:paraId="0D96AB1C" w14:textId="77777777" w:rsidR="00F57988" w:rsidRDefault="00F57988"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We </w:t>
      </w:r>
      <w:proofErr w:type="spellStart"/>
      <w:r>
        <w:rPr>
          <w:rFonts w:ascii="Times New Roman" w:hAnsi="Times New Roman" w:cs="Times New Roman"/>
          <w:sz w:val="24"/>
        </w:rPr>
        <w:t>finde</w:t>
      </w:r>
      <w:proofErr w:type="spellEnd"/>
      <w:r>
        <w:rPr>
          <w:rFonts w:ascii="Times New Roman" w:hAnsi="Times New Roman" w:cs="Times New Roman"/>
          <w:sz w:val="24"/>
        </w:rPr>
        <w:t xml:space="preserve"> the </w:t>
      </w:r>
      <w:proofErr w:type="spellStart"/>
      <w:r>
        <w:rPr>
          <w:rFonts w:ascii="Times New Roman" w:hAnsi="Times New Roman" w:cs="Times New Roman"/>
          <w:sz w:val="24"/>
        </w:rPr>
        <w:t>doubtfull</w:t>
      </w:r>
      <w:proofErr w:type="spellEnd"/>
      <w:r>
        <w:rPr>
          <w:rFonts w:ascii="Times New Roman" w:hAnsi="Times New Roman" w:cs="Times New Roman"/>
          <w:sz w:val="24"/>
        </w:rPr>
        <w:t xml:space="preserve"> way,</w:t>
      </w:r>
    </w:p>
    <w:p w14:paraId="682F18BA" w14:textId="687F805A" w:rsidR="00F57988" w:rsidRDefault="00F57988"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That leads to </w:t>
      </w:r>
      <w:proofErr w:type="spellStart"/>
      <w:r>
        <w:rPr>
          <w:rFonts w:ascii="Times New Roman" w:hAnsi="Times New Roman" w:cs="Times New Roman"/>
          <w:sz w:val="24"/>
        </w:rPr>
        <w:t>vertues</w:t>
      </w:r>
      <w:proofErr w:type="spellEnd"/>
      <w:r>
        <w:rPr>
          <w:rFonts w:ascii="Times New Roman" w:hAnsi="Times New Roman" w:cs="Times New Roman"/>
          <w:sz w:val="24"/>
        </w:rPr>
        <w:t xml:space="preserve"> </w:t>
      </w:r>
      <w:proofErr w:type="spellStart"/>
      <w:r>
        <w:rPr>
          <w:rFonts w:ascii="Times New Roman" w:hAnsi="Times New Roman" w:cs="Times New Roman"/>
          <w:sz w:val="24"/>
        </w:rPr>
        <w:t>seate</w:t>
      </w:r>
      <w:proofErr w:type="spellEnd"/>
      <w:r>
        <w:rPr>
          <w:rFonts w:ascii="Times New Roman" w:hAnsi="Times New Roman" w:cs="Times New Roman"/>
          <w:sz w:val="24"/>
        </w:rPr>
        <w:t>.</w:t>
      </w:r>
      <w:r w:rsidR="00E51425">
        <w:rPr>
          <w:rStyle w:val="FootnoteReference"/>
          <w:rFonts w:ascii="Times New Roman" w:hAnsi="Times New Roman" w:cs="Times New Roman"/>
          <w:sz w:val="24"/>
        </w:rPr>
        <w:footnoteReference w:id="42"/>
      </w:r>
    </w:p>
    <w:p w14:paraId="00BE9BE9" w14:textId="00C18B14" w:rsidR="00592B35" w:rsidRPr="00906555" w:rsidRDefault="001C5BFC" w:rsidP="002D58FB">
      <w:pPr>
        <w:spacing w:line="240" w:lineRule="auto"/>
        <w:jc w:val="both"/>
        <w:rPr>
          <w:rFonts w:ascii="Times New Roman" w:hAnsi="Times New Roman" w:cs="Times New Roman"/>
          <w:sz w:val="24"/>
        </w:rPr>
      </w:pPr>
      <w:r>
        <w:rPr>
          <w:rFonts w:ascii="Times New Roman" w:hAnsi="Times New Roman" w:cs="Times New Roman"/>
          <w:sz w:val="24"/>
        </w:rPr>
        <w:t xml:space="preserve">Portia makes a far briefer appearance in </w:t>
      </w:r>
      <w:r w:rsidRPr="001C5BFC">
        <w:rPr>
          <w:rFonts w:ascii="Times New Roman" w:hAnsi="Times New Roman" w:cs="Times New Roman"/>
          <w:i/>
          <w:sz w:val="24"/>
        </w:rPr>
        <w:t>Julius Caesar</w:t>
      </w:r>
      <w:r>
        <w:rPr>
          <w:rFonts w:ascii="Times New Roman" w:hAnsi="Times New Roman" w:cs="Times New Roman"/>
          <w:i/>
          <w:sz w:val="24"/>
        </w:rPr>
        <w:t xml:space="preserve"> </w:t>
      </w:r>
      <w:r>
        <w:rPr>
          <w:rFonts w:ascii="Times New Roman" w:hAnsi="Times New Roman" w:cs="Times New Roman"/>
          <w:sz w:val="24"/>
        </w:rPr>
        <w:t>than either Cornelia or Octavia do in their respective plays,</w:t>
      </w:r>
      <w:r w:rsidR="00D73FC3">
        <w:rPr>
          <w:rFonts w:ascii="Times New Roman" w:hAnsi="Times New Roman" w:cs="Times New Roman"/>
          <w:sz w:val="24"/>
        </w:rPr>
        <w:t xml:space="preserve"> but</w:t>
      </w:r>
      <w:r>
        <w:rPr>
          <w:rFonts w:ascii="Times New Roman" w:hAnsi="Times New Roman" w:cs="Times New Roman"/>
          <w:sz w:val="24"/>
        </w:rPr>
        <w:t xml:space="preserve"> she also displays a similar virtuous constancy. She demands to know Brutus’ plans and claims that, as Cato’s daughter and Brutus’ wife, she is stronger than other </w:t>
      </w:r>
      <w:r>
        <w:rPr>
          <w:rFonts w:ascii="Times New Roman" w:hAnsi="Times New Roman" w:cs="Times New Roman"/>
          <w:sz w:val="24"/>
        </w:rPr>
        <w:lastRenderedPageBreak/>
        <w:t xml:space="preserve">women, </w:t>
      </w:r>
      <w:r w:rsidR="005729C0">
        <w:rPr>
          <w:rFonts w:ascii="Times New Roman" w:hAnsi="Times New Roman" w:cs="Times New Roman"/>
          <w:sz w:val="24"/>
        </w:rPr>
        <w:t>wounding herself</w:t>
      </w:r>
      <w:r>
        <w:rPr>
          <w:rFonts w:ascii="Times New Roman" w:hAnsi="Times New Roman" w:cs="Times New Roman"/>
          <w:sz w:val="24"/>
        </w:rPr>
        <w:t xml:space="preserve"> as ‘strong proof of my constancy.’</w:t>
      </w:r>
      <w:r>
        <w:rPr>
          <w:rStyle w:val="FootnoteReference"/>
          <w:rFonts w:ascii="Times New Roman" w:hAnsi="Times New Roman" w:cs="Times New Roman"/>
          <w:sz w:val="24"/>
        </w:rPr>
        <w:footnoteReference w:id="43"/>
      </w:r>
      <w:r>
        <w:rPr>
          <w:rFonts w:ascii="Times New Roman" w:hAnsi="Times New Roman" w:cs="Times New Roman"/>
          <w:sz w:val="24"/>
        </w:rPr>
        <w:t xml:space="preserve"> Later in the play, Brutus tells Cassius that Portia has killed herself </w:t>
      </w:r>
      <w:r w:rsidR="00B97F8C">
        <w:rPr>
          <w:rFonts w:ascii="Times New Roman" w:hAnsi="Times New Roman" w:cs="Times New Roman"/>
          <w:sz w:val="24"/>
        </w:rPr>
        <w:t xml:space="preserve">out of sorrow </w:t>
      </w:r>
      <w:r w:rsidR="00C708E1">
        <w:rPr>
          <w:rFonts w:ascii="Times New Roman" w:hAnsi="Times New Roman" w:cs="Times New Roman"/>
          <w:sz w:val="24"/>
        </w:rPr>
        <w:t>at</w:t>
      </w:r>
      <w:r w:rsidR="00B97F8C">
        <w:rPr>
          <w:rFonts w:ascii="Times New Roman" w:hAnsi="Times New Roman" w:cs="Times New Roman"/>
          <w:sz w:val="24"/>
        </w:rPr>
        <w:t xml:space="preserve"> Brutus’ absence from Rome and </w:t>
      </w:r>
      <w:r w:rsidR="002269F2">
        <w:rPr>
          <w:rFonts w:ascii="Times New Roman" w:hAnsi="Times New Roman" w:cs="Times New Roman"/>
          <w:sz w:val="24"/>
        </w:rPr>
        <w:t>concern</w:t>
      </w:r>
      <w:r w:rsidR="00B97F8C">
        <w:rPr>
          <w:rFonts w:ascii="Times New Roman" w:hAnsi="Times New Roman" w:cs="Times New Roman"/>
          <w:sz w:val="24"/>
        </w:rPr>
        <w:t xml:space="preserve"> for him due to the </w:t>
      </w:r>
      <w:r w:rsidR="00377990">
        <w:rPr>
          <w:rFonts w:ascii="Times New Roman" w:hAnsi="Times New Roman" w:cs="Times New Roman"/>
          <w:sz w:val="24"/>
        </w:rPr>
        <w:t>might</w:t>
      </w:r>
      <w:r w:rsidR="00B97F8C">
        <w:rPr>
          <w:rFonts w:ascii="Times New Roman" w:hAnsi="Times New Roman" w:cs="Times New Roman"/>
          <w:sz w:val="24"/>
        </w:rPr>
        <w:t xml:space="preserve"> of Antony and Octavian.</w:t>
      </w:r>
      <w:r w:rsidR="00B97F8C">
        <w:rPr>
          <w:rStyle w:val="FootnoteReference"/>
          <w:rFonts w:ascii="Times New Roman" w:hAnsi="Times New Roman" w:cs="Times New Roman"/>
          <w:sz w:val="24"/>
        </w:rPr>
        <w:footnoteReference w:id="44"/>
      </w:r>
      <w:r w:rsidR="00B97F8C">
        <w:rPr>
          <w:rFonts w:ascii="Times New Roman" w:hAnsi="Times New Roman" w:cs="Times New Roman"/>
          <w:sz w:val="24"/>
        </w:rPr>
        <w:t xml:space="preserve"> </w:t>
      </w:r>
      <w:r w:rsidR="001E4FCD">
        <w:rPr>
          <w:rFonts w:ascii="Times New Roman" w:hAnsi="Times New Roman" w:cs="Times New Roman"/>
          <w:sz w:val="24"/>
        </w:rPr>
        <w:t xml:space="preserve">Portia thus goes to great lengths to demonstrate her constant loyalty to her husband. </w:t>
      </w:r>
      <w:r w:rsidR="00592B35">
        <w:rPr>
          <w:rFonts w:ascii="Times New Roman" w:hAnsi="Times New Roman" w:cs="Times New Roman"/>
          <w:sz w:val="24"/>
        </w:rPr>
        <w:t>Caesar’s wife, Calpurnia, is similarly portrayed to Portia in that the defining aspect of her character is her devotion to her husband</w:t>
      </w:r>
      <w:r w:rsidR="00A06BE7">
        <w:rPr>
          <w:rFonts w:ascii="Times New Roman" w:hAnsi="Times New Roman" w:cs="Times New Roman"/>
          <w:sz w:val="24"/>
        </w:rPr>
        <w:t>, seen</w:t>
      </w:r>
      <w:r w:rsidR="009E432E">
        <w:rPr>
          <w:rFonts w:ascii="Times New Roman" w:hAnsi="Times New Roman" w:cs="Times New Roman"/>
          <w:sz w:val="24"/>
        </w:rPr>
        <w:t xml:space="preserve"> when she pleads</w:t>
      </w:r>
      <w:r w:rsidR="00F6115B">
        <w:rPr>
          <w:rFonts w:ascii="Times New Roman" w:hAnsi="Times New Roman" w:cs="Times New Roman"/>
          <w:sz w:val="24"/>
        </w:rPr>
        <w:t xml:space="preserve"> </w:t>
      </w:r>
      <w:r w:rsidR="00592B35">
        <w:rPr>
          <w:rFonts w:ascii="Times New Roman" w:hAnsi="Times New Roman" w:cs="Times New Roman"/>
          <w:sz w:val="24"/>
        </w:rPr>
        <w:t xml:space="preserve">with </w:t>
      </w:r>
      <w:r w:rsidR="00F6115B">
        <w:rPr>
          <w:rFonts w:ascii="Times New Roman" w:hAnsi="Times New Roman" w:cs="Times New Roman"/>
          <w:sz w:val="24"/>
        </w:rPr>
        <w:t>Caesar</w:t>
      </w:r>
      <w:r w:rsidR="00592B35">
        <w:rPr>
          <w:rFonts w:ascii="Times New Roman" w:hAnsi="Times New Roman" w:cs="Times New Roman"/>
          <w:sz w:val="24"/>
        </w:rPr>
        <w:t xml:space="preserve"> not to go to the capitol.</w:t>
      </w:r>
      <w:r w:rsidR="00592B35">
        <w:rPr>
          <w:rStyle w:val="FootnoteReference"/>
          <w:rFonts w:ascii="Times New Roman" w:hAnsi="Times New Roman" w:cs="Times New Roman"/>
          <w:sz w:val="24"/>
        </w:rPr>
        <w:footnoteReference w:id="45"/>
      </w:r>
      <w:r w:rsidR="00C708E1">
        <w:rPr>
          <w:rFonts w:ascii="Times New Roman" w:hAnsi="Times New Roman" w:cs="Times New Roman"/>
          <w:sz w:val="24"/>
        </w:rPr>
        <w:t xml:space="preserve"> </w:t>
      </w:r>
      <w:r w:rsidR="00906555">
        <w:rPr>
          <w:rFonts w:ascii="Times New Roman" w:hAnsi="Times New Roman" w:cs="Times New Roman"/>
          <w:sz w:val="24"/>
        </w:rPr>
        <w:t xml:space="preserve">A similar scene plays out in </w:t>
      </w:r>
      <w:r w:rsidR="00906555">
        <w:rPr>
          <w:rFonts w:ascii="Times New Roman" w:hAnsi="Times New Roman" w:cs="Times New Roman"/>
          <w:i/>
          <w:sz w:val="24"/>
        </w:rPr>
        <w:t>Caesar’s Revenge</w:t>
      </w:r>
      <w:r w:rsidR="00906555">
        <w:rPr>
          <w:rFonts w:ascii="Times New Roman" w:hAnsi="Times New Roman" w:cs="Times New Roman"/>
          <w:sz w:val="24"/>
        </w:rPr>
        <w:t xml:space="preserve">, </w:t>
      </w:r>
      <w:r w:rsidR="00696E99">
        <w:rPr>
          <w:rFonts w:ascii="Times New Roman" w:hAnsi="Times New Roman" w:cs="Times New Roman"/>
          <w:sz w:val="24"/>
        </w:rPr>
        <w:t>except that</w:t>
      </w:r>
      <w:r w:rsidR="00906555">
        <w:rPr>
          <w:rFonts w:ascii="Times New Roman" w:hAnsi="Times New Roman" w:cs="Times New Roman"/>
          <w:sz w:val="24"/>
        </w:rPr>
        <w:t xml:space="preserve"> Calpurnia declares that she will kill herself if Caesar </w:t>
      </w:r>
      <w:r w:rsidR="00633E7F">
        <w:rPr>
          <w:rFonts w:ascii="Times New Roman" w:hAnsi="Times New Roman" w:cs="Times New Roman"/>
          <w:sz w:val="24"/>
        </w:rPr>
        <w:t>leaves</w:t>
      </w:r>
      <w:r w:rsidR="00906555">
        <w:rPr>
          <w:rFonts w:ascii="Times New Roman" w:hAnsi="Times New Roman" w:cs="Times New Roman"/>
          <w:sz w:val="24"/>
        </w:rPr>
        <w:t xml:space="preserve"> and her vision is proved right.</w:t>
      </w:r>
      <w:r w:rsidR="00906555">
        <w:rPr>
          <w:rStyle w:val="FootnoteReference"/>
          <w:rFonts w:ascii="Times New Roman" w:hAnsi="Times New Roman" w:cs="Times New Roman"/>
          <w:sz w:val="24"/>
        </w:rPr>
        <w:footnoteReference w:id="46"/>
      </w:r>
      <w:r w:rsidR="00906555">
        <w:rPr>
          <w:rFonts w:ascii="Times New Roman" w:hAnsi="Times New Roman" w:cs="Times New Roman"/>
          <w:sz w:val="24"/>
        </w:rPr>
        <w:t xml:space="preserve"> There is also a </w:t>
      </w:r>
      <w:r w:rsidR="00195E32">
        <w:rPr>
          <w:rFonts w:ascii="Times New Roman" w:hAnsi="Times New Roman" w:cs="Times New Roman"/>
          <w:sz w:val="24"/>
        </w:rPr>
        <w:t>later scene</w:t>
      </w:r>
      <w:r w:rsidR="00906555">
        <w:rPr>
          <w:rFonts w:ascii="Times New Roman" w:hAnsi="Times New Roman" w:cs="Times New Roman"/>
          <w:sz w:val="24"/>
        </w:rPr>
        <w:t xml:space="preserve"> where Calpurnia grieves for Caesar in similar terms to Cornelia’s grief for Pompey: ‘All that I am is but </w:t>
      </w:r>
      <w:proofErr w:type="spellStart"/>
      <w:r w:rsidR="00906555">
        <w:rPr>
          <w:rFonts w:ascii="Times New Roman" w:hAnsi="Times New Roman" w:cs="Times New Roman"/>
          <w:sz w:val="24"/>
        </w:rPr>
        <w:t>despaire</w:t>
      </w:r>
      <w:proofErr w:type="spellEnd"/>
      <w:r w:rsidR="00906555">
        <w:rPr>
          <w:rFonts w:ascii="Times New Roman" w:hAnsi="Times New Roman" w:cs="Times New Roman"/>
          <w:sz w:val="24"/>
        </w:rPr>
        <w:t xml:space="preserve"> and </w:t>
      </w:r>
      <w:proofErr w:type="spellStart"/>
      <w:r w:rsidR="00906555">
        <w:rPr>
          <w:rFonts w:ascii="Times New Roman" w:hAnsi="Times New Roman" w:cs="Times New Roman"/>
          <w:sz w:val="24"/>
        </w:rPr>
        <w:t>greefe</w:t>
      </w:r>
      <w:proofErr w:type="spellEnd"/>
      <w:r w:rsidR="00906555">
        <w:rPr>
          <w:rFonts w:ascii="Times New Roman" w:hAnsi="Times New Roman" w:cs="Times New Roman"/>
          <w:sz w:val="24"/>
        </w:rPr>
        <w:t>.’</w:t>
      </w:r>
      <w:r w:rsidR="00906555">
        <w:rPr>
          <w:rStyle w:val="FootnoteReference"/>
          <w:rFonts w:ascii="Times New Roman" w:hAnsi="Times New Roman" w:cs="Times New Roman"/>
          <w:sz w:val="24"/>
        </w:rPr>
        <w:footnoteReference w:id="47"/>
      </w:r>
      <w:r w:rsidR="00633E7F">
        <w:rPr>
          <w:rFonts w:ascii="Times New Roman" w:hAnsi="Times New Roman" w:cs="Times New Roman"/>
          <w:sz w:val="24"/>
        </w:rPr>
        <w:t xml:space="preserve"> Calpurnia, therefore, is portrayed much like the other Roman women as being concerned chiefly with the safety of her husband.</w:t>
      </w:r>
    </w:p>
    <w:p w14:paraId="6C67F063" w14:textId="7D50FEB6" w:rsidR="00DE47EA" w:rsidRDefault="00CF6553" w:rsidP="002D58FB">
      <w:pPr>
        <w:spacing w:line="240" w:lineRule="auto"/>
        <w:jc w:val="both"/>
        <w:rPr>
          <w:rFonts w:ascii="Times New Roman" w:hAnsi="Times New Roman" w:cs="Times New Roman"/>
          <w:sz w:val="24"/>
        </w:rPr>
      </w:pPr>
      <w:r>
        <w:rPr>
          <w:rFonts w:ascii="Times New Roman" w:hAnsi="Times New Roman" w:cs="Times New Roman"/>
          <w:sz w:val="24"/>
        </w:rPr>
        <w:t xml:space="preserve">However, </w:t>
      </w:r>
      <w:r w:rsidR="003A40CE">
        <w:rPr>
          <w:rFonts w:ascii="Times New Roman" w:hAnsi="Times New Roman" w:cs="Times New Roman"/>
          <w:sz w:val="24"/>
        </w:rPr>
        <w:t>al</w:t>
      </w:r>
      <w:r>
        <w:rPr>
          <w:rFonts w:ascii="Times New Roman" w:hAnsi="Times New Roman" w:cs="Times New Roman"/>
          <w:sz w:val="24"/>
        </w:rPr>
        <w:t>though these classical figures are all presented as the ideal types of virtuous women, there is also a degree of ambiguity concerning how pragmatically useful their constant devotion might be. This can most clearly be seen in the case of Shakespeare’s Portia</w:t>
      </w:r>
      <w:r w:rsidR="00DF6D76">
        <w:rPr>
          <w:rFonts w:ascii="Times New Roman" w:hAnsi="Times New Roman" w:cs="Times New Roman"/>
          <w:sz w:val="24"/>
        </w:rPr>
        <w:t xml:space="preserve"> for, w</w:t>
      </w:r>
      <w:r w:rsidR="0017730B">
        <w:rPr>
          <w:rFonts w:ascii="Times New Roman" w:hAnsi="Times New Roman" w:cs="Times New Roman"/>
          <w:sz w:val="24"/>
        </w:rPr>
        <w:t>hilst</w:t>
      </w:r>
      <w:r w:rsidR="00DE47EA">
        <w:rPr>
          <w:rFonts w:ascii="Times New Roman" w:hAnsi="Times New Roman" w:cs="Times New Roman"/>
          <w:sz w:val="24"/>
        </w:rPr>
        <w:t xml:space="preserve"> Portia is a devoted wife, her constant love for Brutus </w:t>
      </w:r>
      <w:r w:rsidR="003D2B3F">
        <w:rPr>
          <w:rFonts w:ascii="Times New Roman" w:hAnsi="Times New Roman" w:cs="Times New Roman"/>
          <w:sz w:val="24"/>
        </w:rPr>
        <w:t>proves</w:t>
      </w:r>
      <w:r w:rsidR="00696E99">
        <w:rPr>
          <w:rFonts w:ascii="Times New Roman" w:hAnsi="Times New Roman" w:cs="Times New Roman"/>
          <w:sz w:val="24"/>
        </w:rPr>
        <w:t xml:space="preserve"> dangerous. </w:t>
      </w:r>
      <w:r w:rsidR="003A40CE">
        <w:rPr>
          <w:rFonts w:ascii="Times New Roman" w:hAnsi="Times New Roman" w:cs="Times New Roman"/>
          <w:sz w:val="24"/>
        </w:rPr>
        <w:t>S</w:t>
      </w:r>
      <w:r w:rsidR="00DE47EA">
        <w:rPr>
          <w:rFonts w:ascii="Times New Roman" w:hAnsi="Times New Roman" w:cs="Times New Roman"/>
          <w:sz w:val="24"/>
        </w:rPr>
        <w:t xml:space="preserve">he persuades </w:t>
      </w:r>
      <w:r w:rsidR="003A40CE">
        <w:rPr>
          <w:rFonts w:ascii="Times New Roman" w:hAnsi="Times New Roman" w:cs="Times New Roman"/>
          <w:sz w:val="24"/>
        </w:rPr>
        <w:t>Brutus</w:t>
      </w:r>
      <w:r w:rsidR="00DE47EA">
        <w:rPr>
          <w:rFonts w:ascii="Times New Roman" w:hAnsi="Times New Roman" w:cs="Times New Roman"/>
          <w:sz w:val="24"/>
        </w:rPr>
        <w:t xml:space="preserve"> into telling her about the conspiracy by claiming to be ‘stronger than my sex’,</w:t>
      </w:r>
      <w:r w:rsidR="003A40CE">
        <w:rPr>
          <w:rFonts w:ascii="Times New Roman" w:hAnsi="Times New Roman" w:cs="Times New Roman"/>
          <w:sz w:val="24"/>
        </w:rPr>
        <w:t xml:space="preserve"> but</w:t>
      </w:r>
      <w:r w:rsidR="00DE47EA">
        <w:rPr>
          <w:rFonts w:ascii="Times New Roman" w:hAnsi="Times New Roman" w:cs="Times New Roman"/>
          <w:sz w:val="24"/>
        </w:rPr>
        <w:t xml:space="preserve"> the next and final time she appears she </w:t>
      </w:r>
      <w:r w:rsidR="00481DED">
        <w:rPr>
          <w:rFonts w:ascii="Times New Roman" w:hAnsi="Times New Roman" w:cs="Times New Roman"/>
          <w:sz w:val="24"/>
        </w:rPr>
        <w:t xml:space="preserve">risks </w:t>
      </w:r>
      <w:r w:rsidR="00DE47EA">
        <w:rPr>
          <w:rFonts w:ascii="Times New Roman" w:hAnsi="Times New Roman" w:cs="Times New Roman"/>
          <w:sz w:val="24"/>
        </w:rPr>
        <w:t>giving the plot away to a servant boy because she is worried about Brutus’ safety:</w:t>
      </w:r>
    </w:p>
    <w:p w14:paraId="6A7DE592" w14:textId="77777777" w:rsidR="00DE47EA" w:rsidRDefault="00DE47EA" w:rsidP="002D58FB">
      <w:pPr>
        <w:spacing w:line="240" w:lineRule="auto"/>
        <w:ind w:left="720"/>
        <w:jc w:val="both"/>
        <w:rPr>
          <w:rFonts w:ascii="Times New Roman" w:hAnsi="Times New Roman" w:cs="Times New Roman"/>
          <w:sz w:val="24"/>
        </w:rPr>
      </w:pPr>
      <w:r>
        <w:rPr>
          <w:rFonts w:ascii="Times New Roman" w:hAnsi="Times New Roman" w:cs="Times New Roman"/>
          <w:sz w:val="24"/>
        </w:rPr>
        <w:t>Ay me, how weak a thing</w:t>
      </w:r>
    </w:p>
    <w:p w14:paraId="7ADD098C" w14:textId="77777777" w:rsidR="00DE47EA" w:rsidRDefault="00DE47EA" w:rsidP="002D58FB">
      <w:pPr>
        <w:spacing w:line="240" w:lineRule="auto"/>
        <w:ind w:left="720"/>
        <w:jc w:val="both"/>
        <w:rPr>
          <w:rFonts w:ascii="Times New Roman" w:hAnsi="Times New Roman" w:cs="Times New Roman"/>
          <w:sz w:val="24"/>
        </w:rPr>
      </w:pPr>
      <w:r>
        <w:rPr>
          <w:rFonts w:ascii="Times New Roman" w:hAnsi="Times New Roman" w:cs="Times New Roman"/>
          <w:sz w:val="24"/>
        </w:rPr>
        <w:t>The heart of woman is!...</w:t>
      </w:r>
    </w:p>
    <w:p w14:paraId="0CC43533" w14:textId="77777777" w:rsidR="00CF6553" w:rsidRDefault="00DE47EA" w:rsidP="002D58FB">
      <w:pPr>
        <w:spacing w:line="240" w:lineRule="auto"/>
        <w:ind w:left="720"/>
        <w:jc w:val="both"/>
        <w:rPr>
          <w:rFonts w:ascii="Times New Roman" w:hAnsi="Times New Roman" w:cs="Times New Roman"/>
          <w:sz w:val="24"/>
        </w:rPr>
      </w:pPr>
      <w:proofErr w:type="gramStart"/>
      <w:r>
        <w:rPr>
          <w:rFonts w:ascii="Times New Roman" w:hAnsi="Times New Roman" w:cs="Times New Roman"/>
          <w:sz w:val="24"/>
        </w:rPr>
        <w:t>Sure</w:t>
      </w:r>
      <w:proofErr w:type="gramEnd"/>
      <w:r>
        <w:rPr>
          <w:rFonts w:ascii="Times New Roman" w:hAnsi="Times New Roman" w:cs="Times New Roman"/>
          <w:sz w:val="24"/>
        </w:rPr>
        <w:t xml:space="preserve"> the boy heard me…</w:t>
      </w:r>
      <w:r>
        <w:rPr>
          <w:rStyle w:val="FootnoteReference"/>
          <w:rFonts w:ascii="Times New Roman" w:hAnsi="Times New Roman" w:cs="Times New Roman"/>
          <w:sz w:val="24"/>
        </w:rPr>
        <w:footnoteReference w:id="48"/>
      </w:r>
      <w:r w:rsidR="00CF6553">
        <w:rPr>
          <w:rFonts w:ascii="Times New Roman" w:hAnsi="Times New Roman" w:cs="Times New Roman"/>
          <w:sz w:val="24"/>
        </w:rPr>
        <w:t xml:space="preserve"> </w:t>
      </w:r>
    </w:p>
    <w:p w14:paraId="654A6F08" w14:textId="367CB0AF" w:rsidR="00DE47EA" w:rsidRDefault="00DE47EA" w:rsidP="002D58FB">
      <w:pPr>
        <w:spacing w:line="240" w:lineRule="auto"/>
        <w:jc w:val="both"/>
        <w:rPr>
          <w:rFonts w:ascii="Times New Roman" w:hAnsi="Times New Roman" w:cs="Times New Roman"/>
          <w:sz w:val="24"/>
        </w:rPr>
      </w:pPr>
      <w:r>
        <w:rPr>
          <w:rFonts w:ascii="Times New Roman" w:hAnsi="Times New Roman" w:cs="Times New Roman"/>
          <w:sz w:val="24"/>
        </w:rPr>
        <w:t>Portia is here being a virtuous woman in that she is demonstrating her constant love for her husband</w:t>
      </w:r>
      <w:r w:rsidR="00162593">
        <w:rPr>
          <w:rFonts w:ascii="Times New Roman" w:hAnsi="Times New Roman" w:cs="Times New Roman"/>
          <w:sz w:val="24"/>
        </w:rPr>
        <w:t xml:space="preserve"> in her concern about him</w:t>
      </w:r>
      <w:r>
        <w:rPr>
          <w:rFonts w:ascii="Times New Roman" w:hAnsi="Times New Roman" w:cs="Times New Roman"/>
          <w:sz w:val="24"/>
        </w:rPr>
        <w:t xml:space="preserve">, </w:t>
      </w:r>
      <w:r w:rsidR="00634F95">
        <w:rPr>
          <w:rFonts w:ascii="Times New Roman" w:hAnsi="Times New Roman" w:cs="Times New Roman"/>
          <w:sz w:val="24"/>
        </w:rPr>
        <w:t>but she is also simultaneously jeopardising Brutus’ safety</w:t>
      </w:r>
      <w:r w:rsidR="00C92BBE">
        <w:rPr>
          <w:rFonts w:ascii="Times New Roman" w:hAnsi="Times New Roman" w:cs="Times New Roman"/>
          <w:sz w:val="24"/>
        </w:rPr>
        <w:t xml:space="preserve"> and the success of the conspiracy</w:t>
      </w:r>
      <w:r w:rsidR="00634F95">
        <w:rPr>
          <w:rFonts w:ascii="Times New Roman" w:hAnsi="Times New Roman" w:cs="Times New Roman"/>
          <w:sz w:val="24"/>
        </w:rPr>
        <w:t xml:space="preserve">. Her constancy is thus admirable, but also </w:t>
      </w:r>
      <w:r w:rsidR="000D78A0">
        <w:rPr>
          <w:rFonts w:ascii="Times New Roman" w:hAnsi="Times New Roman" w:cs="Times New Roman"/>
          <w:sz w:val="24"/>
        </w:rPr>
        <w:t xml:space="preserve">potentially </w:t>
      </w:r>
      <w:r w:rsidR="00634F95">
        <w:rPr>
          <w:rFonts w:ascii="Times New Roman" w:hAnsi="Times New Roman" w:cs="Times New Roman"/>
          <w:sz w:val="24"/>
        </w:rPr>
        <w:t>impractical and unsuited to the world of politics</w:t>
      </w:r>
      <w:r w:rsidR="00950ADB">
        <w:rPr>
          <w:rFonts w:ascii="Times New Roman" w:hAnsi="Times New Roman" w:cs="Times New Roman"/>
          <w:sz w:val="24"/>
        </w:rPr>
        <w:t>.</w:t>
      </w:r>
      <w:r w:rsidR="00634F95">
        <w:rPr>
          <w:rFonts w:ascii="Times New Roman" w:hAnsi="Times New Roman" w:cs="Times New Roman"/>
          <w:sz w:val="24"/>
        </w:rPr>
        <w:t xml:space="preserve"> We can</w:t>
      </w:r>
      <w:r w:rsidR="00001440">
        <w:rPr>
          <w:rFonts w:ascii="Times New Roman" w:hAnsi="Times New Roman" w:cs="Times New Roman"/>
          <w:sz w:val="24"/>
        </w:rPr>
        <w:t xml:space="preserve"> also</w:t>
      </w:r>
      <w:r w:rsidR="00634F95">
        <w:rPr>
          <w:rFonts w:ascii="Times New Roman" w:hAnsi="Times New Roman" w:cs="Times New Roman"/>
          <w:sz w:val="24"/>
        </w:rPr>
        <w:t xml:space="preserve"> see the downsides of Portia’s constancy with regards to her suicide. In </w:t>
      </w:r>
      <w:r w:rsidR="00634F95">
        <w:rPr>
          <w:rFonts w:ascii="Times New Roman" w:hAnsi="Times New Roman" w:cs="Times New Roman"/>
          <w:i/>
          <w:sz w:val="24"/>
        </w:rPr>
        <w:t>Brutus</w:t>
      </w:r>
      <w:r w:rsidR="00634F95">
        <w:rPr>
          <w:rFonts w:ascii="Times New Roman" w:hAnsi="Times New Roman" w:cs="Times New Roman"/>
          <w:sz w:val="24"/>
        </w:rPr>
        <w:t>, Plutarch gives two versions of Portia’s suicide: the first is that she killed herself after the defeat at Pharsalus to prevent herself from being captured</w:t>
      </w:r>
      <w:r w:rsidR="003D2B3F">
        <w:rPr>
          <w:rFonts w:ascii="Times New Roman" w:hAnsi="Times New Roman" w:cs="Times New Roman"/>
          <w:sz w:val="24"/>
        </w:rPr>
        <w:t>;</w:t>
      </w:r>
      <w:r w:rsidR="00634F95">
        <w:rPr>
          <w:rFonts w:ascii="Times New Roman" w:hAnsi="Times New Roman" w:cs="Times New Roman"/>
          <w:sz w:val="24"/>
        </w:rPr>
        <w:t xml:space="preserve"> the second is the version in </w:t>
      </w:r>
      <w:r w:rsidR="00634F95">
        <w:rPr>
          <w:rFonts w:ascii="Times New Roman" w:hAnsi="Times New Roman" w:cs="Times New Roman"/>
          <w:i/>
          <w:sz w:val="24"/>
        </w:rPr>
        <w:t>Julius Caesar</w:t>
      </w:r>
      <w:r w:rsidR="00634F95">
        <w:rPr>
          <w:rFonts w:ascii="Times New Roman" w:hAnsi="Times New Roman" w:cs="Times New Roman"/>
          <w:sz w:val="24"/>
        </w:rPr>
        <w:t>.</w:t>
      </w:r>
      <w:r w:rsidR="00634F95">
        <w:rPr>
          <w:rStyle w:val="FootnoteReference"/>
          <w:rFonts w:ascii="Times New Roman" w:hAnsi="Times New Roman" w:cs="Times New Roman"/>
          <w:sz w:val="24"/>
        </w:rPr>
        <w:footnoteReference w:id="49"/>
      </w:r>
      <w:r w:rsidR="00634F95">
        <w:rPr>
          <w:rFonts w:ascii="Times New Roman" w:hAnsi="Times New Roman" w:cs="Times New Roman"/>
          <w:sz w:val="24"/>
        </w:rPr>
        <w:t xml:space="preserve"> The fact that Shakespeare chooses to present the second version of Portia’s death emphasises her overbearing constancy: she is so</w:t>
      </w:r>
      <w:r w:rsidR="004934CA">
        <w:rPr>
          <w:rFonts w:ascii="Times New Roman" w:hAnsi="Times New Roman" w:cs="Times New Roman"/>
          <w:sz w:val="24"/>
        </w:rPr>
        <w:t xml:space="preserve"> over</w:t>
      </w:r>
      <w:r w:rsidR="00634F95">
        <w:rPr>
          <w:rFonts w:ascii="Times New Roman" w:hAnsi="Times New Roman" w:cs="Times New Roman"/>
          <w:sz w:val="24"/>
        </w:rPr>
        <w:t>emotional</w:t>
      </w:r>
      <w:r w:rsidR="004934CA">
        <w:rPr>
          <w:rFonts w:ascii="Times New Roman" w:hAnsi="Times New Roman" w:cs="Times New Roman"/>
          <w:sz w:val="24"/>
        </w:rPr>
        <w:t xml:space="preserve"> </w:t>
      </w:r>
      <w:r w:rsidR="00634F95">
        <w:rPr>
          <w:rFonts w:ascii="Times New Roman" w:hAnsi="Times New Roman" w:cs="Times New Roman"/>
          <w:sz w:val="24"/>
        </w:rPr>
        <w:t>that she kills herself before the battle</w:t>
      </w:r>
      <w:r w:rsidR="004601DF">
        <w:rPr>
          <w:rFonts w:ascii="Times New Roman" w:hAnsi="Times New Roman" w:cs="Times New Roman"/>
          <w:sz w:val="24"/>
        </w:rPr>
        <w:t xml:space="preserve"> of Philippi has</w:t>
      </w:r>
      <w:r w:rsidR="00634F95">
        <w:rPr>
          <w:rFonts w:ascii="Times New Roman" w:hAnsi="Times New Roman" w:cs="Times New Roman"/>
          <w:sz w:val="24"/>
        </w:rPr>
        <w:t xml:space="preserve"> even beg</w:t>
      </w:r>
      <w:r w:rsidR="0063495C">
        <w:rPr>
          <w:rFonts w:ascii="Times New Roman" w:hAnsi="Times New Roman" w:cs="Times New Roman"/>
          <w:sz w:val="24"/>
        </w:rPr>
        <w:t>u</w:t>
      </w:r>
      <w:r w:rsidR="00634F95">
        <w:rPr>
          <w:rFonts w:ascii="Times New Roman" w:hAnsi="Times New Roman" w:cs="Times New Roman"/>
          <w:sz w:val="24"/>
        </w:rPr>
        <w:t>n.</w:t>
      </w:r>
      <w:r w:rsidR="00C92BBE">
        <w:rPr>
          <w:rFonts w:ascii="Times New Roman" w:hAnsi="Times New Roman" w:cs="Times New Roman"/>
          <w:sz w:val="24"/>
        </w:rPr>
        <w:t xml:space="preserve"> </w:t>
      </w:r>
      <w:r w:rsidR="00CF0EFE">
        <w:rPr>
          <w:rFonts w:ascii="Times New Roman" w:hAnsi="Times New Roman" w:cs="Times New Roman"/>
          <w:sz w:val="24"/>
        </w:rPr>
        <w:t>Therefore, w</w:t>
      </w:r>
      <w:r w:rsidR="00634F95">
        <w:rPr>
          <w:rFonts w:ascii="Times New Roman" w:hAnsi="Times New Roman" w:cs="Times New Roman"/>
          <w:sz w:val="24"/>
        </w:rPr>
        <w:t xml:space="preserve">hilst </w:t>
      </w:r>
      <w:r w:rsidR="00CF0EFE">
        <w:rPr>
          <w:rFonts w:ascii="Times New Roman" w:hAnsi="Times New Roman" w:cs="Times New Roman"/>
          <w:sz w:val="24"/>
        </w:rPr>
        <w:t>Portia’s suicide</w:t>
      </w:r>
      <w:r w:rsidR="00634F95">
        <w:rPr>
          <w:rFonts w:ascii="Times New Roman" w:hAnsi="Times New Roman" w:cs="Times New Roman"/>
          <w:sz w:val="24"/>
        </w:rPr>
        <w:t xml:space="preserve"> is virtuous in its constancy, it also shows that female virtue, in excess, can lead to impractical and irrational actions.</w:t>
      </w:r>
      <w:r w:rsidR="00C92BBE">
        <w:rPr>
          <w:rFonts w:ascii="Times New Roman" w:hAnsi="Times New Roman" w:cs="Times New Roman"/>
          <w:sz w:val="24"/>
        </w:rPr>
        <w:t xml:space="preserve"> </w:t>
      </w:r>
    </w:p>
    <w:p w14:paraId="51D1AFA9" w14:textId="79ADE3BA" w:rsidR="003A40CE" w:rsidRDefault="00FE5794" w:rsidP="002D58FB">
      <w:pPr>
        <w:spacing w:line="240" w:lineRule="auto"/>
        <w:jc w:val="both"/>
        <w:rPr>
          <w:rFonts w:ascii="Times New Roman" w:hAnsi="Times New Roman" w:cs="Times New Roman"/>
          <w:sz w:val="24"/>
        </w:rPr>
      </w:pPr>
      <w:r>
        <w:rPr>
          <w:rFonts w:ascii="Times New Roman" w:hAnsi="Times New Roman" w:cs="Times New Roman"/>
          <w:sz w:val="24"/>
        </w:rPr>
        <w:t>A similar ambiguity</w:t>
      </w:r>
      <w:r w:rsidR="00611749">
        <w:rPr>
          <w:rFonts w:ascii="Times New Roman" w:hAnsi="Times New Roman" w:cs="Times New Roman"/>
          <w:sz w:val="24"/>
        </w:rPr>
        <w:t xml:space="preserve"> is </w:t>
      </w:r>
      <w:r w:rsidR="002E6429">
        <w:rPr>
          <w:rFonts w:ascii="Times New Roman" w:hAnsi="Times New Roman" w:cs="Times New Roman"/>
          <w:sz w:val="24"/>
        </w:rPr>
        <w:t>also present</w:t>
      </w:r>
      <w:r w:rsidR="00611749">
        <w:rPr>
          <w:rFonts w:ascii="Times New Roman" w:hAnsi="Times New Roman" w:cs="Times New Roman"/>
          <w:sz w:val="24"/>
        </w:rPr>
        <w:t xml:space="preserve"> in Kyd’s translation of </w:t>
      </w:r>
      <w:r w:rsidR="00611749">
        <w:rPr>
          <w:rFonts w:ascii="Times New Roman" w:hAnsi="Times New Roman" w:cs="Times New Roman"/>
          <w:i/>
          <w:sz w:val="24"/>
        </w:rPr>
        <w:t>Cornelia</w:t>
      </w:r>
      <w:r w:rsidR="00611749">
        <w:rPr>
          <w:rFonts w:ascii="Times New Roman" w:hAnsi="Times New Roman" w:cs="Times New Roman"/>
          <w:sz w:val="24"/>
        </w:rPr>
        <w:t>. Cornelia’s devotion to her husband leads her into such despair that she repeatedly considers suicide. However, the play strongly rejects suicide as a viable option for relief from evil, with Cicero consistently putting Christian neo-stoic arguments against it.</w:t>
      </w:r>
      <w:r w:rsidR="00611749">
        <w:rPr>
          <w:rStyle w:val="FootnoteReference"/>
          <w:rFonts w:ascii="Times New Roman" w:hAnsi="Times New Roman" w:cs="Times New Roman"/>
          <w:sz w:val="24"/>
        </w:rPr>
        <w:footnoteReference w:id="50"/>
      </w:r>
      <w:r w:rsidR="00B563A6">
        <w:rPr>
          <w:rFonts w:ascii="Times New Roman" w:hAnsi="Times New Roman" w:cs="Times New Roman"/>
          <w:sz w:val="24"/>
        </w:rPr>
        <w:t xml:space="preserve"> The fact that Cornelia does not kill herself at the end of the play suggests that she has managed finally to get a hold of her emotional side, submitting </w:t>
      </w:r>
      <w:r w:rsidR="00B563A6">
        <w:rPr>
          <w:rFonts w:ascii="Times New Roman" w:hAnsi="Times New Roman" w:cs="Times New Roman"/>
          <w:sz w:val="24"/>
        </w:rPr>
        <w:lastRenderedPageBreak/>
        <w:t xml:space="preserve">herself to the reasoned arguments of Cicero, in a similar way to that of Lipsius in his dialogue with </w:t>
      </w:r>
      <w:proofErr w:type="spellStart"/>
      <w:r w:rsidR="00B563A6">
        <w:rPr>
          <w:rFonts w:ascii="Times New Roman" w:hAnsi="Times New Roman" w:cs="Times New Roman"/>
          <w:sz w:val="24"/>
        </w:rPr>
        <w:t>Langius</w:t>
      </w:r>
      <w:proofErr w:type="spellEnd"/>
      <w:r w:rsidR="00B563A6">
        <w:rPr>
          <w:rFonts w:ascii="Times New Roman" w:hAnsi="Times New Roman" w:cs="Times New Roman"/>
          <w:sz w:val="24"/>
        </w:rPr>
        <w:t xml:space="preserve"> in </w:t>
      </w:r>
      <w:r w:rsidR="00B563A6">
        <w:rPr>
          <w:rFonts w:ascii="Times New Roman" w:hAnsi="Times New Roman" w:cs="Times New Roman"/>
          <w:i/>
          <w:sz w:val="24"/>
        </w:rPr>
        <w:t>De Constantia</w:t>
      </w:r>
      <w:r w:rsidR="00951C5F">
        <w:rPr>
          <w:rFonts w:ascii="Times New Roman" w:hAnsi="Times New Roman" w:cs="Times New Roman"/>
          <w:sz w:val="24"/>
        </w:rPr>
        <w:t xml:space="preserve">, </w:t>
      </w:r>
      <w:r w:rsidR="00B563A6">
        <w:rPr>
          <w:rFonts w:ascii="Times New Roman" w:hAnsi="Times New Roman" w:cs="Times New Roman"/>
          <w:sz w:val="24"/>
        </w:rPr>
        <w:t>who has to learn to subject his emotions to reason in order to achieve true constancy.</w:t>
      </w:r>
      <w:r w:rsidR="00B563A6">
        <w:rPr>
          <w:rStyle w:val="FootnoteReference"/>
          <w:rFonts w:ascii="Times New Roman" w:hAnsi="Times New Roman" w:cs="Times New Roman"/>
          <w:sz w:val="24"/>
        </w:rPr>
        <w:footnoteReference w:id="51"/>
      </w:r>
      <w:r w:rsidR="004D1836">
        <w:rPr>
          <w:rFonts w:ascii="Times New Roman" w:hAnsi="Times New Roman" w:cs="Times New Roman"/>
          <w:sz w:val="24"/>
        </w:rPr>
        <w:t xml:space="preserve"> </w:t>
      </w:r>
      <w:r w:rsidR="00095E99">
        <w:rPr>
          <w:rFonts w:ascii="Times New Roman" w:hAnsi="Times New Roman" w:cs="Times New Roman"/>
          <w:sz w:val="24"/>
        </w:rPr>
        <w:t>Tellingly</w:t>
      </w:r>
      <w:r w:rsidR="004D1836">
        <w:rPr>
          <w:rFonts w:ascii="Times New Roman" w:hAnsi="Times New Roman" w:cs="Times New Roman"/>
          <w:sz w:val="24"/>
        </w:rPr>
        <w:t>,</w:t>
      </w:r>
      <w:r w:rsidR="006E37F9" w:rsidRPr="006E37F9">
        <w:rPr>
          <w:rFonts w:ascii="Times New Roman" w:hAnsi="Times New Roman" w:cs="Times New Roman"/>
          <w:sz w:val="24"/>
        </w:rPr>
        <w:t xml:space="preserve"> </w:t>
      </w:r>
      <w:r w:rsidR="006E37F9">
        <w:rPr>
          <w:rFonts w:ascii="Times New Roman" w:hAnsi="Times New Roman" w:cs="Times New Roman"/>
          <w:sz w:val="24"/>
        </w:rPr>
        <w:t>in</w:t>
      </w:r>
      <w:r w:rsidR="006E37F9" w:rsidRPr="009C1D07">
        <w:rPr>
          <w:rFonts w:ascii="Times New Roman" w:hAnsi="Times New Roman" w:cs="Times New Roman"/>
          <w:sz w:val="24"/>
        </w:rPr>
        <w:t xml:space="preserve"> stark contrast to </w:t>
      </w:r>
      <w:r w:rsidR="00F3179F">
        <w:rPr>
          <w:rFonts w:ascii="Times New Roman" w:hAnsi="Times New Roman" w:cs="Times New Roman"/>
          <w:sz w:val="24"/>
        </w:rPr>
        <w:t>Cornelia’s</w:t>
      </w:r>
      <w:r w:rsidR="006E37F9" w:rsidRPr="009C1D07">
        <w:rPr>
          <w:rFonts w:ascii="Times New Roman" w:hAnsi="Times New Roman" w:cs="Times New Roman"/>
          <w:sz w:val="24"/>
        </w:rPr>
        <w:t xml:space="preserve"> outpourings of grief</w:t>
      </w:r>
      <w:r w:rsidR="006E37F9">
        <w:rPr>
          <w:rFonts w:ascii="Times New Roman" w:hAnsi="Times New Roman" w:cs="Times New Roman"/>
          <w:sz w:val="24"/>
        </w:rPr>
        <w:t>,</w:t>
      </w:r>
      <w:r w:rsidR="004D1836" w:rsidRPr="009C1D07">
        <w:rPr>
          <w:rFonts w:ascii="Times New Roman" w:hAnsi="Times New Roman" w:cs="Times New Roman"/>
          <w:sz w:val="24"/>
        </w:rPr>
        <w:t xml:space="preserve"> </w:t>
      </w:r>
      <w:r w:rsidR="006E37F9">
        <w:rPr>
          <w:rFonts w:ascii="Times New Roman" w:hAnsi="Times New Roman" w:cs="Times New Roman"/>
          <w:sz w:val="24"/>
        </w:rPr>
        <w:t xml:space="preserve">Shakespeare’s </w:t>
      </w:r>
      <w:r w:rsidR="004D1836" w:rsidRPr="009C1D07">
        <w:rPr>
          <w:rFonts w:ascii="Times New Roman" w:hAnsi="Times New Roman" w:cs="Times New Roman"/>
          <w:sz w:val="24"/>
        </w:rPr>
        <w:t xml:space="preserve">Brutus responds to </w:t>
      </w:r>
      <w:r w:rsidR="004D1836">
        <w:rPr>
          <w:rFonts w:ascii="Times New Roman" w:hAnsi="Times New Roman" w:cs="Times New Roman"/>
          <w:sz w:val="24"/>
        </w:rPr>
        <w:t>Portia’s</w:t>
      </w:r>
      <w:r w:rsidR="004D1836" w:rsidRPr="009C1D07">
        <w:rPr>
          <w:rFonts w:ascii="Times New Roman" w:hAnsi="Times New Roman" w:cs="Times New Roman"/>
          <w:sz w:val="24"/>
        </w:rPr>
        <w:t xml:space="preserve"> death with stoical indifference suggest</w:t>
      </w:r>
      <w:r w:rsidR="00423062">
        <w:rPr>
          <w:rFonts w:ascii="Times New Roman" w:hAnsi="Times New Roman" w:cs="Times New Roman"/>
          <w:sz w:val="24"/>
        </w:rPr>
        <w:t>ing</w:t>
      </w:r>
      <w:r w:rsidR="004D1836" w:rsidRPr="009C1D07">
        <w:rPr>
          <w:rFonts w:ascii="Times New Roman" w:hAnsi="Times New Roman" w:cs="Times New Roman"/>
          <w:sz w:val="24"/>
        </w:rPr>
        <w:t xml:space="preserve"> a gendered vision of constancy in grief in which women’s overemotional natures cause an overabundance of sorrow, whilst men are supposed to receive misfortune with indifference.</w:t>
      </w:r>
      <w:r w:rsidR="00423062">
        <w:rPr>
          <w:rStyle w:val="FootnoteReference"/>
          <w:rFonts w:ascii="Times New Roman" w:hAnsi="Times New Roman" w:cs="Times New Roman"/>
          <w:sz w:val="24"/>
        </w:rPr>
        <w:footnoteReference w:id="52"/>
      </w:r>
      <w:r w:rsidR="005145CC">
        <w:rPr>
          <w:rFonts w:ascii="Times New Roman" w:hAnsi="Times New Roman" w:cs="Times New Roman"/>
          <w:sz w:val="24"/>
        </w:rPr>
        <w:t xml:space="preserve"> </w:t>
      </w:r>
      <w:r w:rsidR="00F81E08">
        <w:rPr>
          <w:rFonts w:ascii="Times New Roman" w:hAnsi="Times New Roman" w:cs="Times New Roman"/>
          <w:sz w:val="24"/>
        </w:rPr>
        <w:t xml:space="preserve">Cornelia’s constancy is akin to Portia’s, therefore, in that it is admirable but tainted by the over-emotionality </w:t>
      </w:r>
      <w:r w:rsidR="002E6429">
        <w:rPr>
          <w:rFonts w:ascii="Times New Roman" w:hAnsi="Times New Roman" w:cs="Times New Roman"/>
          <w:sz w:val="24"/>
        </w:rPr>
        <w:t xml:space="preserve">perceived to be </w:t>
      </w:r>
      <w:r w:rsidR="00F81E08">
        <w:rPr>
          <w:rFonts w:ascii="Times New Roman" w:hAnsi="Times New Roman" w:cs="Times New Roman"/>
          <w:sz w:val="24"/>
        </w:rPr>
        <w:t>typical of women</w:t>
      </w:r>
      <w:r w:rsidR="00951C5F">
        <w:rPr>
          <w:rFonts w:ascii="Times New Roman" w:hAnsi="Times New Roman" w:cs="Times New Roman"/>
          <w:sz w:val="24"/>
        </w:rPr>
        <w:t>:</w:t>
      </w:r>
      <w:r w:rsidR="00A379B0">
        <w:rPr>
          <w:rFonts w:ascii="Times New Roman" w:hAnsi="Times New Roman" w:cs="Times New Roman"/>
          <w:sz w:val="24"/>
        </w:rPr>
        <w:t xml:space="preserve"> she </w:t>
      </w:r>
      <w:r w:rsidR="00AF16B6">
        <w:rPr>
          <w:rFonts w:ascii="Times New Roman" w:hAnsi="Times New Roman" w:cs="Times New Roman"/>
          <w:sz w:val="24"/>
        </w:rPr>
        <w:t>must</w:t>
      </w:r>
      <w:r w:rsidR="00A379B0">
        <w:rPr>
          <w:rFonts w:ascii="Times New Roman" w:hAnsi="Times New Roman" w:cs="Times New Roman"/>
          <w:sz w:val="24"/>
        </w:rPr>
        <w:t xml:space="preserve"> learn to follow her more manly, rational side.</w:t>
      </w:r>
      <w:r w:rsidR="009C1D07" w:rsidRPr="009C1D07">
        <w:rPr>
          <w:rFonts w:ascii="Times New Roman" w:hAnsi="Times New Roman" w:cs="Times New Roman"/>
          <w:sz w:val="24"/>
        </w:rPr>
        <w:t xml:space="preserve"> </w:t>
      </w:r>
      <w:r w:rsidR="007D77EA">
        <w:rPr>
          <w:rFonts w:ascii="Times New Roman" w:hAnsi="Times New Roman" w:cs="Times New Roman"/>
          <w:sz w:val="24"/>
        </w:rPr>
        <w:t>As Lipsius puts it, the ‘tender’ but ‘corrupt’ presence of the mother must be corrected by the ‘awe’ and ‘severity’ of the father.</w:t>
      </w:r>
      <w:r w:rsidR="007D77EA">
        <w:rPr>
          <w:rStyle w:val="FootnoteReference"/>
          <w:rFonts w:ascii="Times New Roman" w:hAnsi="Times New Roman" w:cs="Times New Roman"/>
          <w:sz w:val="24"/>
        </w:rPr>
        <w:footnoteReference w:id="53"/>
      </w:r>
    </w:p>
    <w:p w14:paraId="1F065E45" w14:textId="77777777" w:rsidR="009A1620" w:rsidRDefault="009A1620" w:rsidP="002D58FB">
      <w:pPr>
        <w:spacing w:line="240" w:lineRule="auto"/>
        <w:jc w:val="both"/>
        <w:rPr>
          <w:rFonts w:ascii="Times New Roman" w:hAnsi="Times New Roman" w:cs="Times New Roman"/>
          <w:sz w:val="24"/>
        </w:rPr>
      </w:pPr>
    </w:p>
    <w:p w14:paraId="321ECAA9" w14:textId="6849FE4E" w:rsidR="009A1620" w:rsidRDefault="009A1620" w:rsidP="002D58FB">
      <w:pPr>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II</w:t>
      </w:r>
    </w:p>
    <w:p w14:paraId="0F1D1946" w14:textId="77777777" w:rsidR="009A1620" w:rsidRDefault="009A1620" w:rsidP="002D58FB">
      <w:pPr>
        <w:spacing w:line="240" w:lineRule="auto"/>
        <w:jc w:val="both"/>
        <w:rPr>
          <w:rFonts w:ascii="Times New Roman" w:hAnsi="Times New Roman" w:cs="Times New Roman"/>
          <w:sz w:val="24"/>
        </w:rPr>
      </w:pPr>
    </w:p>
    <w:p w14:paraId="75AB9E84" w14:textId="525B2EBE" w:rsidR="00DE47EA" w:rsidRDefault="00714213" w:rsidP="002D58FB">
      <w:pPr>
        <w:spacing w:line="240" w:lineRule="auto"/>
        <w:jc w:val="both"/>
        <w:rPr>
          <w:rFonts w:ascii="Times New Roman" w:hAnsi="Times New Roman" w:cs="Times New Roman"/>
          <w:sz w:val="24"/>
        </w:rPr>
      </w:pPr>
      <w:r>
        <w:rPr>
          <w:rFonts w:ascii="Times New Roman" w:hAnsi="Times New Roman" w:cs="Times New Roman"/>
          <w:sz w:val="24"/>
        </w:rPr>
        <w:t xml:space="preserve">All the women </w:t>
      </w:r>
      <w:r w:rsidR="005734E7">
        <w:rPr>
          <w:rFonts w:ascii="Times New Roman" w:hAnsi="Times New Roman" w:cs="Times New Roman"/>
          <w:sz w:val="24"/>
        </w:rPr>
        <w:t xml:space="preserve">discussed </w:t>
      </w:r>
      <w:r>
        <w:rPr>
          <w:rFonts w:ascii="Times New Roman" w:hAnsi="Times New Roman" w:cs="Times New Roman"/>
          <w:sz w:val="24"/>
        </w:rPr>
        <w:t xml:space="preserve">so far have been private individuals in that they play </w:t>
      </w:r>
      <w:r w:rsidR="005734E7">
        <w:rPr>
          <w:rFonts w:ascii="Times New Roman" w:hAnsi="Times New Roman" w:cs="Times New Roman"/>
          <w:sz w:val="24"/>
        </w:rPr>
        <w:t>litt</w:t>
      </w:r>
      <w:r>
        <w:rPr>
          <w:rFonts w:ascii="Times New Roman" w:hAnsi="Times New Roman" w:cs="Times New Roman"/>
          <w:sz w:val="24"/>
        </w:rPr>
        <w:t>le</w:t>
      </w:r>
      <w:r w:rsidR="005734E7">
        <w:rPr>
          <w:rFonts w:ascii="Times New Roman" w:hAnsi="Times New Roman" w:cs="Times New Roman"/>
          <w:sz w:val="24"/>
        </w:rPr>
        <w:t xml:space="preserve"> or no</w:t>
      </w:r>
      <w:r>
        <w:rPr>
          <w:rFonts w:ascii="Times New Roman" w:hAnsi="Times New Roman" w:cs="Times New Roman"/>
          <w:sz w:val="24"/>
        </w:rPr>
        <w:t xml:space="preserve"> role in shaping political action, </w:t>
      </w:r>
      <w:proofErr w:type="gramStart"/>
      <w:r>
        <w:rPr>
          <w:rFonts w:ascii="Times New Roman" w:hAnsi="Times New Roman" w:cs="Times New Roman"/>
          <w:sz w:val="24"/>
        </w:rPr>
        <w:t>with the exception of</w:t>
      </w:r>
      <w:proofErr w:type="gramEnd"/>
      <w:r>
        <w:rPr>
          <w:rFonts w:ascii="Times New Roman" w:hAnsi="Times New Roman" w:cs="Times New Roman"/>
          <w:sz w:val="24"/>
        </w:rPr>
        <w:t xml:space="preserve"> Octavia </w:t>
      </w:r>
      <w:r w:rsidR="00987783">
        <w:rPr>
          <w:rFonts w:ascii="Times New Roman" w:hAnsi="Times New Roman" w:cs="Times New Roman"/>
          <w:sz w:val="24"/>
        </w:rPr>
        <w:t xml:space="preserve">to </w:t>
      </w:r>
      <w:r>
        <w:rPr>
          <w:rFonts w:ascii="Times New Roman" w:hAnsi="Times New Roman" w:cs="Times New Roman"/>
          <w:sz w:val="24"/>
        </w:rPr>
        <w:t>who</w:t>
      </w:r>
      <w:r w:rsidR="00987783">
        <w:rPr>
          <w:rFonts w:ascii="Times New Roman" w:hAnsi="Times New Roman" w:cs="Times New Roman"/>
          <w:sz w:val="24"/>
        </w:rPr>
        <w:t>m</w:t>
      </w:r>
      <w:r>
        <w:rPr>
          <w:rFonts w:ascii="Times New Roman" w:hAnsi="Times New Roman" w:cs="Times New Roman"/>
          <w:sz w:val="24"/>
        </w:rPr>
        <w:t xml:space="preserve"> we shall retur</w:t>
      </w:r>
      <w:r w:rsidR="00987783">
        <w:rPr>
          <w:rFonts w:ascii="Times New Roman" w:hAnsi="Times New Roman" w:cs="Times New Roman"/>
          <w:sz w:val="24"/>
        </w:rPr>
        <w:t>n</w:t>
      </w:r>
      <w:r>
        <w:rPr>
          <w:rFonts w:ascii="Times New Roman" w:hAnsi="Times New Roman" w:cs="Times New Roman"/>
          <w:sz w:val="24"/>
        </w:rPr>
        <w:t xml:space="preserve"> later. </w:t>
      </w:r>
      <w:r w:rsidR="00696E99">
        <w:rPr>
          <w:rFonts w:ascii="Times New Roman" w:hAnsi="Times New Roman" w:cs="Times New Roman"/>
          <w:sz w:val="24"/>
        </w:rPr>
        <w:t>All</w:t>
      </w:r>
      <w:r>
        <w:rPr>
          <w:rFonts w:ascii="Times New Roman" w:hAnsi="Times New Roman" w:cs="Times New Roman"/>
          <w:sz w:val="24"/>
        </w:rPr>
        <w:t xml:space="preserve"> the women, including Octavia, however, hold no official position. It is therefore important to </w:t>
      </w:r>
      <w:r w:rsidR="00696E99">
        <w:rPr>
          <w:rFonts w:ascii="Times New Roman" w:hAnsi="Times New Roman" w:cs="Times New Roman"/>
          <w:sz w:val="24"/>
        </w:rPr>
        <w:t>analyse</w:t>
      </w:r>
      <w:r>
        <w:rPr>
          <w:rFonts w:ascii="Times New Roman" w:hAnsi="Times New Roman" w:cs="Times New Roman"/>
          <w:sz w:val="24"/>
        </w:rPr>
        <w:t xml:space="preserve"> how authors presented the virtues of women who exercised power through legal office</w:t>
      </w:r>
      <w:r w:rsidR="00767546">
        <w:rPr>
          <w:rFonts w:ascii="Times New Roman" w:hAnsi="Times New Roman" w:cs="Times New Roman"/>
          <w:sz w:val="24"/>
        </w:rPr>
        <w:t>, namely</w:t>
      </w:r>
      <w:r>
        <w:rPr>
          <w:rFonts w:ascii="Times New Roman" w:hAnsi="Times New Roman" w:cs="Times New Roman"/>
          <w:sz w:val="24"/>
        </w:rPr>
        <w:t xml:space="preserve"> queens. Since the Romans never had a regnant empress, all the queens in </w:t>
      </w:r>
      <w:r w:rsidR="00DD0E47">
        <w:rPr>
          <w:rFonts w:ascii="Times New Roman" w:hAnsi="Times New Roman" w:cs="Times New Roman"/>
          <w:sz w:val="24"/>
        </w:rPr>
        <w:t xml:space="preserve">Elizabethan </w:t>
      </w:r>
      <w:r>
        <w:rPr>
          <w:rFonts w:ascii="Times New Roman" w:hAnsi="Times New Roman" w:cs="Times New Roman"/>
          <w:sz w:val="24"/>
        </w:rPr>
        <w:t xml:space="preserve">classical </w:t>
      </w:r>
      <w:r w:rsidR="00DD0E47">
        <w:rPr>
          <w:rFonts w:ascii="Times New Roman" w:hAnsi="Times New Roman" w:cs="Times New Roman"/>
          <w:sz w:val="24"/>
        </w:rPr>
        <w:t>dramas</w:t>
      </w:r>
      <w:r>
        <w:rPr>
          <w:rFonts w:ascii="Times New Roman" w:hAnsi="Times New Roman" w:cs="Times New Roman"/>
          <w:sz w:val="24"/>
        </w:rPr>
        <w:t xml:space="preserve"> are not actually Roman. The most prominent was Cleopatra who was the central character </w:t>
      </w:r>
      <w:r w:rsidR="005A7649">
        <w:rPr>
          <w:rFonts w:ascii="Times New Roman" w:hAnsi="Times New Roman" w:cs="Times New Roman"/>
          <w:sz w:val="24"/>
        </w:rPr>
        <w:t>in</w:t>
      </w:r>
      <w:r>
        <w:rPr>
          <w:rFonts w:ascii="Times New Roman" w:hAnsi="Times New Roman" w:cs="Times New Roman"/>
          <w:sz w:val="24"/>
        </w:rPr>
        <w:t xml:space="preserve"> t</w:t>
      </w:r>
      <w:r w:rsidR="001D10B2">
        <w:rPr>
          <w:rFonts w:ascii="Times New Roman" w:hAnsi="Times New Roman" w:cs="Times New Roman"/>
          <w:sz w:val="24"/>
        </w:rPr>
        <w:t>wo</w:t>
      </w:r>
      <w:r>
        <w:rPr>
          <w:rFonts w:ascii="Times New Roman" w:hAnsi="Times New Roman" w:cs="Times New Roman"/>
          <w:sz w:val="24"/>
        </w:rPr>
        <w:t xml:space="preserve"> late Elizabethan </w:t>
      </w:r>
      <w:r w:rsidR="00E43B53">
        <w:rPr>
          <w:rFonts w:ascii="Times New Roman" w:hAnsi="Times New Roman" w:cs="Times New Roman"/>
          <w:sz w:val="24"/>
        </w:rPr>
        <w:t>plays</w:t>
      </w:r>
      <w:r w:rsidR="001D10B2">
        <w:rPr>
          <w:rFonts w:ascii="Times New Roman" w:hAnsi="Times New Roman" w:cs="Times New Roman"/>
          <w:sz w:val="24"/>
        </w:rPr>
        <w:t>,</w:t>
      </w:r>
      <w:r>
        <w:rPr>
          <w:rFonts w:ascii="Times New Roman" w:hAnsi="Times New Roman" w:cs="Times New Roman"/>
          <w:sz w:val="24"/>
        </w:rPr>
        <w:t xml:space="preserve"> Mary Sidney’s translation of Robert Garnier’s </w:t>
      </w:r>
      <w:r>
        <w:rPr>
          <w:rFonts w:ascii="Times New Roman" w:hAnsi="Times New Roman" w:cs="Times New Roman"/>
          <w:i/>
          <w:sz w:val="24"/>
        </w:rPr>
        <w:t xml:space="preserve">Antonius </w:t>
      </w:r>
      <w:r>
        <w:rPr>
          <w:rFonts w:ascii="Times New Roman" w:hAnsi="Times New Roman" w:cs="Times New Roman"/>
          <w:sz w:val="24"/>
        </w:rPr>
        <w:t>(1592)</w:t>
      </w:r>
      <w:r w:rsidR="001D10B2">
        <w:rPr>
          <w:rFonts w:ascii="Times New Roman" w:hAnsi="Times New Roman" w:cs="Times New Roman"/>
          <w:sz w:val="24"/>
        </w:rPr>
        <w:t xml:space="preserve"> and</w:t>
      </w:r>
      <w:r>
        <w:rPr>
          <w:rFonts w:ascii="Times New Roman" w:hAnsi="Times New Roman" w:cs="Times New Roman"/>
          <w:sz w:val="24"/>
        </w:rPr>
        <w:t xml:space="preserve"> Samuel Daniel’s </w:t>
      </w:r>
      <w:r>
        <w:rPr>
          <w:rFonts w:ascii="Times New Roman" w:hAnsi="Times New Roman" w:cs="Times New Roman"/>
          <w:i/>
          <w:sz w:val="24"/>
        </w:rPr>
        <w:t xml:space="preserve">Cleopatra </w:t>
      </w:r>
      <w:r>
        <w:rPr>
          <w:rFonts w:ascii="Times New Roman" w:hAnsi="Times New Roman" w:cs="Times New Roman"/>
          <w:sz w:val="24"/>
        </w:rPr>
        <w:t>(1594)</w:t>
      </w:r>
      <w:r w:rsidR="001D10B2">
        <w:rPr>
          <w:rFonts w:ascii="Times New Roman" w:hAnsi="Times New Roman" w:cs="Times New Roman"/>
          <w:sz w:val="24"/>
        </w:rPr>
        <w:t>, as well as</w:t>
      </w:r>
      <w:r>
        <w:rPr>
          <w:rFonts w:ascii="Times New Roman" w:hAnsi="Times New Roman" w:cs="Times New Roman"/>
          <w:sz w:val="24"/>
        </w:rPr>
        <w:t xml:space="preserve"> Shakespeare’s </w:t>
      </w:r>
      <w:r>
        <w:rPr>
          <w:rFonts w:ascii="Times New Roman" w:hAnsi="Times New Roman" w:cs="Times New Roman"/>
          <w:i/>
          <w:sz w:val="24"/>
        </w:rPr>
        <w:t>Antony and Cleopatra</w:t>
      </w:r>
      <w:r>
        <w:rPr>
          <w:rFonts w:ascii="Times New Roman" w:hAnsi="Times New Roman" w:cs="Times New Roman"/>
          <w:sz w:val="24"/>
        </w:rPr>
        <w:t xml:space="preserve"> (c. 1605). She is</w:t>
      </w:r>
      <w:r w:rsidR="00BA5E0C">
        <w:rPr>
          <w:rFonts w:ascii="Times New Roman" w:hAnsi="Times New Roman" w:cs="Times New Roman"/>
          <w:sz w:val="24"/>
        </w:rPr>
        <w:t xml:space="preserve"> also</w:t>
      </w:r>
      <w:r>
        <w:rPr>
          <w:rFonts w:ascii="Times New Roman" w:hAnsi="Times New Roman" w:cs="Times New Roman"/>
          <w:sz w:val="24"/>
        </w:rPr>
        <w:t xml:space="preserve"> frequently referred to in Brandon’s </w:t>
      </w:r>
      <w:r>
        <w:rPr>
          <w:rFonts w:ascii="Times New Roman" w:hAnsi="Times New Roman" w:cs="Times New Roman"/>
          <w:i/>
          <w:sz w:val="24"/>
        </w:rPr>
        <w:t>The Virtuous Octavia</w:t>
      </w:r>
      <w:r>
        <w:rPr>
          <w:rFonts w:ascii="Times New Roman" w:hAnsi="Times New Roman" w:cs="Times New Roman"/>
          <w:sz w:val="24"/>
        </w:rPr>
        <w:t xml:space="preserve"> </w:t>
      </w:r>
      <w:r w:rsidR="002244EC">
        <w:rPr>
          <w:rFonts w:ascii="Times New Roman" w:hAnsi="Times New Roman" w:cs="Times New Roman"/>
          <w:sz w:val="24"/>
        </w:rPr>
        <w:t xml:space="preserve">(1598) </w:t>
      </w:r>
      <w:r>
        <w:rPr>
          <w:rFonts w:ascii="Times New Roman" w:hAnsi="Times New Roman" w:cs="Times New Roman"/>
          <w:sz w:val="24"/>
        </w:rPr>
        <w:t xml:space="preserve">and appears briefly in </w:t>
      </w:r>
      <w:r>
        <w:rPr>
          <w:rFonts w:ascii="Times New Roman" w:hAnsi="Times New Roman" w:cs="Times New Roman"/>
          <w:i/>
          <w:sz w:val="24"/>
        </w:rPr>
        <w:t>Caesar’s Revenge</w:t>
      </w:r>
      <w:r w:rsidR="002244EC">
        <w:rPr>
          <w:rFonts w:ascii="Times New Roman" w:hAnsi="Times New Roman" w:cs="Times New Roman"/>
          <w:i/>
          <w:sz w:val="24"/>
        </w:rPr>
        <w:t xml:space="preserve"> </w:t>
      </w:r>
      <w:r w:rsidR="002244EC">
        <w:rPr>
          <w:rFonts w:ascii="Times New Roman" w:hAnsi="Times New Roman" w:cs="Times New Roman"/>
          <w:sz w:val="24"/>
        </w:rPr>
        <w:t>(c. 1607)</w:t>
      </w:r>
      <w:r>
        <w:rPr>
          <w:rFonts w:ascii="Times New Roman" w:hAnsi="Times New Roman" w:cs="Times New Roman"/>
          <w:sz w:val="24"/>
        </w:rPr>
        <w:t xml:space="preserve">. </w:t>
      </w:r>
      <w:r w:rsidR="00F96911">
        <w:rPr>
          <w:rFonts w:ascii="Times New Roman" w:hAnsi="Times New Roman" w:cs="Times New Roman"/>
          <w:sz w:val="24"/>
        </w:rPr>
        <w:t xml:space="preserve">The only other </w:t>
      </w:r>
      <w:r w:rsidR="005A7649">
        <w:rPr>
          <w:rFonts w:ascii="Times New Roman" w:hAnsi="Times New Roman" w:cs="Times New Roman"/>
          <w:sz w:val="24"/>
        </w:rPr>
        <w:t>“</w:t>
      </w:r>
      <w:r w:rsidR="00F96911">
        <w:rPr>
          <w:rFonts w:ascii="Times New Roman" w:hAnsi="Times New Roman" w:cs="Times New Roman"/>
          <w:sz w:val="24"/>
        </w:rPr>
        <w:t>historical</w:t>
      </w:r>
      <w:r w:rsidR="005A7649">
        <w:rPr>
          <w:rFonts w:ascii="Times New Roman" w:hAnsi="Times New Roman" w:cs="Times New Roman"/>
          <w:sz w:val="24"/>
        </w:rPr>
        <w:t>”</w:t>
      </w:r>
      <w:r w:rsidR="00F96911">
        <w:rPr>
          <w:rFonts w:ascii="Times New Roman" w:hAnsi="Times New Roman" w:cs="Times New Roman"/>
          <w:sz w:val="24"/>
        </w:rPr>
        <w:t xml:space="preserve"> classical queen to appear in the dramatic literature of the period was Dido, who is the titular character in Christopher Marlowe’s </w:t>
      </w:r>
      <w:r w:rsidR="00F96911">
        <w:rPr>
          <w:rFonts w:ascii="Times New Roman" w:hAnsi="Times New Roman" w:cs="Times New Roman"/>
          <w:i/>
          <w:sz w:val="24"/>
        </w:rPr>
        <w:t>Dido, Queen of Carthage</w:t>
      </w:r>
      <w:r w:rsidR="00F96911">
        <w:rPr>
          <w:rFonts w:ascii="Times New Roman" w:hAnsi="Times New Roman" w:cs="Times New Roman"/>
          <w:sz w:val="24"/>
        </w:rPr>
        <w:t xml:space="preserve"> (</w:t>
      </w:r>
      <w:r w:rsidR="007B20DA">
        <w:rPr>
          <w:rFonts w:ascii="Times New Roman" w:hAnsi="Times New Roman" w:cs="Times New Roman"/>
          <w:sz w:val="24"/>
        </w:rPr>
        <w:t>c.15</w:t>
      </w:r>
      <w:r w:rsidR="00987783">
        <w:rPr>
          <w:rFonts w:ascii="Times New Roman" w:hAnsi="Times New Roman" w:cs="Times New Roman"/>
          <w:sz w:val="24"/>
        </w:rPr>
        <w:t>8</w:t>
      </w:r>
      <w:r w:rsidR="00BE403A">
        <w:rPr>
          <w:rFonts w:ascii="Times New Roman" w:hAnsi="Times New Roman" w:cs="Times New Roman"/>
          <w:sz w:val="24"/>
        </w:rPr>
        <w:t>6</w:t>
      </w:r>
      <w:r w:rsidR="00F96911">
        <w:rPr>
          <w:rFonts w:ascii="Times New Roman" w:hAnsi="Times New Roman" w:cs="Times New Roman"/>
          <w:sz w:val="24"/>
        </w:rPr>
        <w:t>)</w:t>
      </w:r>
      <w:r w:rsidR="005A7649">
        <w:rPr>
          <w:rFonts w:ascii="Times New Roman" w:hAnsi="Times New Roman" w:cs="Times New Roman"/>
          <w:sz w:val="24"/>
        </w:rPr>
        <w:t>,</w:t>
      </w:r>
      <w:r w:rsidR="00F96911">
        <w:rPr>
          <w:rFonts w:ascii="Times New Roman" w:hAnsi="Times New Roman" w:cs="Times New Roman"/>
          <w:sz w:val="24"/>
        </w:rPr>
        <w:t xml:space="preserve"> </w:t>
      </w:r>
      <w:proofErr w:type="gramStart"/>
      <w:r w:rsidR="00F96911">
        <w:rPr>
          <w:rFonts w:ascii="Times New Roman" w:hAnsi="Times New Roman" w:cs="Times New Roman"/>
          <w:sz w:val="24"/>
        </w:rPr>
        <w:t>and also</w:t>
      </w:r>
      <w:proofErr w:type="gramEnd"/>
      <w:r w:rsidR="00F96911">
        <w:rPr>
          <w:rFonts w:ascii="Times New Roman" w:hAnsi="Times New Roman" w:cs="Times New Roman"/>
          <w:sz w:val="24"/>
        </w:rPr>
        <w:t xml:space="preserve"> presumably played a significant role in the lost </w:t>
      </w:r>
      <w:r w:rsidR="00F96911">
        <w:rPr>
          <w:rFonts w:ascii="Times New Roman" w:hAnsi="Times New Roman" w:cs="Times New Roman"/>
          <w:i/>
          <w:sz w:val="24"/>
        </w:rPr>
        <w:t>Dido and Aeneas</w:t>
      </w:r>
      <w:r w:rsidR="00F96911">
        <w:rPr>
          <w:rFonts w:ascii="Times New Roman" w:hAnsi="Times New Roman" w:cs="Times New Roman"/>
          <w:sz w:val="24"/>
        </w:rPr>
        <w:t>, recorded in Henslowe’s diary as having been performed in January 1598.</w:t>
      </w:r>
      <w:r w:rsidR="00F96911">
        <w:rPr>
          <w:rStyle w:val="FootnoteReference"/>
          <w:rFonts w:ascii="Times New Roman" w:hAnsi="Times New Roman" w:cs="Times New Roman"/>
          <w:sz w:val="24"/>
        </w:rPr>
        <w:footnoteReference w:id="54"/>
      </w:r>
      <w:r w:rsidR="00F96911">
        <w:rPr>
          <w:rFonts w:ascii="Times New Roman" w:hAnsi="Times New Roman" w:cs="Times New Roman"/>
          <w:sz w:val="24"/>
        </w:rPr>
        <w:t xml:space="preserve"> </w:t>
      </w:r>
    </w:p>
    <w:p w14:paraId="45148714" w14:textId="4FB1D4A2" w:rsidR="00377460" w:rsidRDefault="00F96911" w:rsidP="002D58FB">
      <w:pPr>
        <w:spacing w:line="240" w:lineRule="auto"/>
        <w:jc w:val="both"/>
        <w:rPr>
          <w:rFonts w:ascii="Times New Roman" w:hAnsi="Times New Roman" w:cs="Times New Roman"/>
          <w:sz w:val="24"/>
        </w:rPr>
      </w:pPr>
      <w:r>
        <w:rPr>
          <w:rFonts w:ascii="Times New Roman" w:hAnsi="Times New Roman" w:cs="Times New Roman"/>
          <w:sz w:val="24"/>
        </w:rPr>
        <w:t xml:space="preserve">There are two elements </w:t>
      </w:r>
      <w:r w:rsidR="00BA5E0C">
        <w:rPr>
          <w:rFonts w:ascii="Times New Roman" w:hAnsi="Times New Roman" w:cs="Times New Roman"/>
          <w:sz w:val="24"/>
        </w:rPr>
        <w:t>which</w:t>
      </w:r>
      <w:r>
        <w:rPr>
          <w:rFonts w:ascii="Times New Roman" w:hAnsi="Times New Roman" w:cs="Times New Roman"/>
          <w:sz w:val="24"/>
        </w:rPr>
        <w:t xml:space="preserve"> must be addressed before embarking on a closer analysis of these plays. Firstly, the fact that neither Cleopatra nor Dido was Roman meant that they were already imbued with a sense of otherness</w:t>
      </w:r>
      <w:r w:rsidR="005A7649">
        <w:rPr>
          <w:rFonts w:ascii="Times New Roman" w:hAnsi="Times New Roman" w:cs="Times New Roman"/>
          <w:sz w:val="24"/>
        </w:rPr>
        <w:t xml:space="preserve"> </w:t>
      </w:r>
      <w:r w:rsidR="00B973CC">
        <w:rPr>
          <w:rFonts w:ascii="Times New Roman" w:hAnsi="Times New Roman" w:cs="Times New Roman"/>
          <w:sz w:val="24"/>
        </w:rPr>
        <w:t>because of</w:t>
      </w:r>
      <w:r>
        <w:rPr>
          <w:rFonts w:ascii="Times New Roman" w:hAnsi="Times New Roman" w:cs="Times New Roman"/>
          <w:sz w:val="24"/>
        </w:rPr>
        <w:t xml:space="preserve"> their</w:t>
      </w:r>
      <w:r w:rsidR="008A28A5">
        <w:rPr>
          <w:rFonts w:ascii="Times New Roman" w:hAnsi="Times New Roman" w:cs="Times New Roman"/>
          <w:sz w:val="24"/>
        </w:rPr>
        <w:t xml:space="preserve"> exoticised</w:t>
      </w:r>
      <w:r>
        <w:rPr>
          <w:rFonts w:ascii="Times New Roman" w:hAnsi="Times New Roman" w:cs="Times New Roman"/>
          <w:sz w:val="24"/>
        </w:rPr>
        <w:t xml:space="preserve"> African heritage</w:t>
      </w:r>
      <w:r w:rsidR="00D12C27" w:rsidRPr="00B973CC">
        <w:rPr>
          <w:rFonts w:ascii="Times New Roman" w:hAnsi="Times New Roman" w:cs="Times New Roman"/>
          <w:sz w:val="24"/>
        </w:rPr>
        <w:t>.</w:t>
      </w:r>
      <w:r w:rsidR="00D12C27" w:rsidRPr="00B973CC">
        <w:rPr>
          <w:rStyle w:val="FootnoteReference"/>
          <w:rFonts w:ascii="Times New Roman" w:hAnsi="Times New Roman" w:cs="Times New Roman"/>
          <w:sz w:val="24"/>
        </w:rPr>
        <w:footnoteReference w:id="55"/>
      </w:r>
      <w:r w:rsidR="00D12C27">
        <w:rPr>
          <w:rFonts w:ascii="Times New Roman" w:hAnsi="Times New Roman" w:cs="Times New Roman"/>
          <w:sz w:val="24"/>
        </w:rPr>
        <w:t xml:space="preserve"> Secondly, Cleopatra and Dido’s love affairs w</w:t>
      </w:r>
      <w:r w:rsidR="00BA5E0C">
        <w:rPr>
          <w:rFonts w:ascii="Times New Roman" w:hAnsi="Times New Roman" w:cs="Times New Roman"/>
          <w:sz w:val="24"/>
        </w:rPr>
        <w:t>ere</w:t>
      </w:r>
      <w:r w:rsidR="00D12C27">
        <w:rPr>
          <w:rFonts w:ascii="Times New Roman" w:hAnsi="Times New Roman" w:cs="Times New Roman"/>
          <w:sz w:val="24"/>
        </w:rPr>
        <w:t xml:space="preserve"> characterised by the absence of marriage, as both Antony and Aeneas had </w:t>
      </w:r>
      <w:r w:rsidR="00987783">
        <w:rPr>
          <w:rFonts w:ascii="Times New Roman" w:hAnsi="Times New Roman" w:cs="Times New Roman"/>
          <w:sz w:val="24"/>
        </w:rPr>
        <w:t>separate</w:t>
      </w:r>
      <w:r w:rsidR="00D12C27">
        <w:rPr>
          <w:rFonts w:ascii="Times New Roman" w:hAnsi="Times New Roman" w:cs="Times New Roman"/>
          <w:sz w:val="24"/>
        </w:rPr>
        <w:t xml:space="preserve"> lawful wives. This makes the relationships</w:t>
      </w:r>
      <w:r w:rsidR="00377460">
        <w:rPr>
          <w:rFonts w:ascii="Times New Roman" w:hAnsi="Times New Roman" w:cs="Times New Roman"/>
          <w:sz w:val="24"/>
        </w:rPr>
        <w:t xml:space="preserve"> </w:t>
      </w:r>
      <w:r w:rsidR="00D12C27">
        <w:rPr>
          <w:rFonts w:ascii="Times New Roman" w:hAnsi="Times New Roman" w:cs="Times New Roman"/>
          <w:sz w:val="24"/>
        </w:rPr>
        <w:t>between the lovers</w:t>
      </w:r>
      <w:r w:rsidR="00987783">
        <w:rPr>
          <w:rFonts w:ascii="Times New Roman" w:hAnsi="Times New Roman" w:cs="Times New Roman"/>
          <w:sz w:val="24"/>
        </w:rPr>
        <w:t xml:space="preserve"> more ambiguous</w:t>
      </w:r>
      <w:r w:rsidR="00D12C27">
        <w:rPr>
          <w:rFonts w:ascii="Times New Roman" w:hAnsi="Times New Roman" w:cs="Times New Roman"/>
          <w:sz w:val="24"/>
        </w:rPr>
        <w:t xml:space="preserve"> and suggests</w:t>
      </w:r>
      <w:r w:rsidR="00BA5E0C">
        <w:rPr>
          <w:rFonts w:ascii="Times New Roman" w:hAnsi="Times New Roman" w:cs="Times New Roman"/>
          <w:sz w:val="24"/>
        </w:rPr>
        <w:t xml:space="preserve"> an already inherent sense of contrast between these African queens and virtuous Roman women</w:t>
      </w:r>
      <w:r w:rsidR="005A7649">
        <w:rPr>
          <w:rFonts w:ascii="Times New Roman" w:hAnsi="Times New Roman" w:cs="Times New Roman"/>
          <w:sz w:val="24"/>
        </w:rPr>
        <w:t>.</w:t>
      </w:r>
    </w:p>
    <w:p w14:paraId="3B73CB12" w14:textId="0F753EE5" w:rsidR="00B308FD" w:rsidRDefault="00B308FD" w:rsidP="002D58FB">
      <w:pPr>
        <w:spacing w:line="240" w:lineRule="auto"/>
        <w:jc w:val="both"/>
        <w:rPr>
          <w:rFonts w:ascii="Times New Roman" w:hAnsi="Times New Roman" w:cs="Times New Roman"/>
          <w:sz w:val="24"/>
        </w:rPr>
      </w:pPr>
      <w:r>
        <w:rPr>
          <w:rFonts w:ascii="Times New Roman" w:hAnsi="Times New Roman" w:cs="Times New Roman"/>
          <w:sz w:val="24"/>
        </w:rPr>
        <w:t>The</w:t>
      </w:r>
      <w:r w:rsidR="003A580A">
        <w:rPr>
          <w:rFonts w:ascii="Times New Roman" w:hAnsi="Times New Roman" w:cs="Times New Roman"/>
          <w:sz w:val="24"/>
        </w:rPr>
        <w:t>se</w:t>
      </w:r>
      <w:r>
        <w:rPr>
          <w:rFonts w:ascii="Times New Roman" w:hAnsi="Times New Roman" w:cs="Times New Roman"/>
          <w:sz w:val="24"/>
        </w:rPr>
        <w:t xml:space="preserve"> differences </w:t>
      </w:r>
      <w:r w:rsidR="003A06B3">
        <w:rPr>
          <w:rFonts w:ascii="Times New Roman" w:hAnsi="Times New Roman" w:cs="Times New Roman"/>
          <w:sz w:val="24"/>
        </w:rPr>
        <w:t>are</w:t>
      </w:r>
      <w:r>
        <w:rPr>
          <w:rFonts w:ascii="Times New Roman" w:hAnsi="Times New Roman" w:cs="Times New Roman"/>
          <w:sz w:val="24"/>
        </w:rPr>
        <w:t xml:space="preserve"> particularly apparent in portrayals of Cleopatra</w:t>
      </w:r>
      <w:r w:rsidR="00BA5E0C">
        <w:rPr>
          <w:rFonts w:ascii="Times New Roman" w:hAnsi="Times New Roman" w:cs="Times New Roman"/>
          <w:sz w:val="24"/>
        </w:rPr>
        <w:t>,</w:t>
      </w:r>
      <w:r w:rsidR="00987783">
        <w:rPr>
          <w:rFonts w:ascii="Times New Roman" w:hAnsi="Times New Roman" w:cs="Times New Roman"/>
          <w:sz w:val="24"/>
        </w:rPr>
        <w:t xml:space="preserve"> </w:t>
      </w:r>
      <w:r>
        <w:rPr>
          <w:rFonts w:ascii="Times New Roman" w:hAnsi="Times New Roman" w:cs="Times New Roman"/>
          <w:sz w:val="24"/>
        </w:rPr>
        <w:t xml:space="preserve">who </w:t>
      </w:r>
      <w:r w:rsidR="00A73F5C">
        <w:rPr>
          <w:rFonts w:ascii="Times New Roman" w:hAnsi="Times New Roman" w:cs="Times New Roman"/>
          <w:sz w:val="24"/>
        </w:rPr>
        <w:t>wa</w:t>
      </w:r>
      <w:r>
        <w:rPr>
          <w:rFonts w:ascii="Times New Roman" w:hAnsi="Times New Roman" w:cs="Times New Roman"/>
          <w:sz w:val="24"/>
        </w:rPr>
        <w:t xml:space="preserve">s defined by her inconstancy. In Sidney’s </w:t>
      </w:r>
      <w:r>
        <w:rPr>
          <w:rFonts w:ascii="Times New Roman" w:hAnsi="Times New Roman" w:cs="Times New Roman"/>
          <w:i/>
          <w:sz w:val="24"/>
        </w:rPr>
        <w:t>Antonius</w:t>
      </w:r>
      <w:r>
        <w:rPr>
          <w:rFonts w:ascii="Times New Roman" w:hAnsi="Times New Roman" w:cs="Times New Roman"/>
          <w:sz w:val="24"/>
        </w:rPr>
        <w:t xml:space="preserve">, the first scene </w:t>
      </w:r>
      <w:r w:rsidR="00724BF2">
        <w:rPr>
          <w:rFonts w:ascii="Times New Roman" w:hAnsi="Times New Roman" w:cs="Times New Roman"/>
          <w:sz w:val="24"/>
        </w:rPr>
        <w:t>depicts</w:t>
      </w:r>
      <w:r>
        <w:rPr>
          <w:rFonts w:ascii="Times New Roman" w:hAnsi="Times New Roman" w:cs="Times New Roman"/>
          <w:sz w:val="24"/>
        </w:rPr>
        <w:t xml:space="preserve"> Antony bewailing the disloyalty of women, epitomised in Cleopatra’s flight from Actium: </w:t>
      </w:r>
    </w:p>
    <w:p w14:paraId="61B95B8F" w14:textId="77777777" w:rsidR="00122A4B" w:rsidRDefault="00122A4B" w:rsidP="002D58FB">
      <w:pPr>
        <w:spacing w:line="240" w:lineRule="auto"/>
        <w:ind w:left="720"/>
        <w:jc w:val="both"/>
        <w:rPr>
          <w:rFonts w:ascii="Times New Roman" w:hAnsi="Times New Roman" w:cs="Times New Roman"/>
          <w:sz w:val="24"/>
        </w:rPr>
      </w:pPr>
      <w:r>
        <w:rPr>
          <w:rFonts w:ascii="Times New Roman" w:hAnsi="Times New Roman" w:cs="Times New Roman"/>
          <w:sz w:val="24"/>
        </w:rPr>
        <w:t>Justly complain I she disloyal is,</w:t>
      </w:r>
    </w:p>
    <w:p w14:paraId="15C05276" w14:textId="77777777" w:rsidR="00122A4B" w:rsidRDefault="00122A4B" w:rsidP="002D58FB">
      <w:pPr>
        <w:spacing w:line="240" w:lineRule="auto"/>
        <w:ind w:left="720"/>
        <w:jc w:val="both"/>
        <w:rPr>
          <w:rFonts w:ascii="Times New Roman" w:hAnsi="Times New Roman" w:cs="Times New Roman"/>
          <w:sz w:val="24"/>
        </w:rPr>
      </w:pPr>
      <w:r>
        <w:rPr>
          <w:rFonts w:ascii="Times New Roman" w:hAnsi="Times New Roman" w:cs="Times New Roman"/>
          <w:sz w:val="24"/>
        </w:rPr>
        <w:lastRenderedPageBreak/>
        <w:t>Nor constant is, even as I constant am…</w:t>
      </w:r>
    </w:p>
    <w:p w14:paraId="36ED3D09" w14:textId="2E8A969A" w:rsidR="00B308FD" w:rsidRDefault="00B308FD"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But ah, by nature women </w:t>
      </w:r>
      <w:proofErr w:type="spellStart"/>
      <w:r>
        <w:rPr>
          <w:rFonts w:ascii="Times New Roman" w:hAnsi="Times New Roman" w:cs="Times New Roman"/>
          <w:sz w:val="24"/>
        </w:rPr>
        <w:t>wav’ring</w:t>
      </w:r>
      <w:proofErr w:type="spellEnd"/>
      <w:r>
        <w:rPr>
          <w:rFonts w:ascii="Times New Roman" w:hAnsi="Times New Roman" w:cs="Times New Roman"/>
          <w:sz w:val="24"/>
        </w:rPr>
        <w:t xml:space="preserve"> are,</w:t>
      </w:r>
    </w:p>
    <w:p w14:paraId="522595DA" w14:textId="19CFE6FF" w:rsidR="00B308FD" w:rsidRDefault="00B308FD" w:rsidP="002D58FB">
      <w:pPr>
        <w:spacing w:line="240" w:lineRule="auto"/>
        <w:ind w:left="720"/>
        <w:jc w:val="both"/>
        <w:rPr>
          <w:rFonts w:ascii="Times New Roman" w:hAnsi="Times New Roman" w:cs="Times New Roman"/>
          <w:sz w:val="24"/>
        </w:rPr>
      </w:pPr>
      <w:r>
        <w:rPr>
          <w:rFonts w:ascii="Times New Roman" w:hAnsi="Times New Roman" w:cs="Times New Roman"/>
          <w:sz w:val="24"/>
        </w:rPr>
        <w:t>Each moment changing and rechanging minds.</w:t>
      </w:r>
      <w:r>
        <w:rPr>
          <w:rStyle w:val="FootnoteReference"/>
          <w:rFonts w:ascii="Times New Roman" w:hAnsi="Times New Roman" w:cs="Times New Roman"/>
          <w:sz w:val="24"/>
        </w:rPr>
        <w:footnoteReference w:id="56"/>
      </w:r>
    </w:p>
    <w:p w14:paraId="7297AF60" w14:textId="21446477" w:rsidR="00BF55B9" w:rsidRDefault="00B308FD" w:rsidP="002D58FB">
      <w:pPr>
        <w:spacing w:line="240" w:lineRule="auto"/>
        <w:jc w:val="both"/>
        <w:rPr>
          <w:rFonts w:ascii="Times New Roman" w:hAnsi="Times New Roman" w:cs="Times New Roman"/>
          <w:sz w:val="24"/>
        </w:rPr>
      </w:pPr>
      <w:r>
        <w:rPr>
          <w:rFonts w:ascii="Times New Roman" w:hAnsi="Times New Roman" w:cs="Times New Roman"/>
          <w:sz w:val="24"/>
        </w:rPr>
        <w:t xml:space="preserve">Similarly, in Brandon’s </w:t>
      </w:r>
      <w:r>
        <w:rPr>
          <w:rFonts w:ascii="Times New Roman" w:hAnsi="Times New Roman" w:cs="Times New Roman"/>
          <w:i/>
          <w:sz w:val="24"/>
        </w:rPr>
        <w:t>The Virtuous Octavia</w:t>
      </w:r>
      <w:r>
        <w:rPr>
          <w:rFonts w:ascii="Times New Roman" w:hAnsi="Times New Roman" w:cs="Times New Roman"/>
          <w:sz w:val="24"/>
        </w:rPr>
        <w:t>, although Cleopatra never appears</w:t>
      </w:r>
      <w:r w:rsidR="00293318">
        <w:rPr>
          <w:rFonts w:ascii="Times New Roman" w:hAnsi="Times New Roman" w:cs="Times New Roman"/>
          <w:sz w:val="24"/>
        </w:rPr>
        <w:t xml:space="preserve"> onstage, her flight from Actium is presented as her having ‘betrayed’ Antony and she is further condemned as unvirtuous </w:t>
      </w:r>
      <w:r w:rsidR="00BA5E0C">
        <w:rPr>
          <w:rFonts w:ascii="Times New Roman" w:hAnsi="Times New Roman" w:cs="Times New Roman"/>
          <w:sz w:val="24"/>
        </w:rPr>
        <w:t>for</w:t>
      </w:r>
      <w:r w:rsidR="00293318">
        <w:rPr>
          <w:rFonts w:ascii="Times New Roman" w:hAnsi="Times New Roman" w:cs="Times New Roman"/>
          <w:sz w:val="24"/>
        </w:rPr>
        <w:t xml:space="preserve"> </w:t>
      </w:r>
      <w:r w:rsidR="005A7649">
        <w:rPr>
          <w:rFonts w:ascii="Times New Roman" w:hAnsi="Times New Roman" w:cs="Times New Roman"/>
          <w:sz w:val="24"/>
        </w:rPr>
        <w:t>the</w:t>
      </w:r>
      <w:r w:rsidR="00293318">
        <w:rPr>
          <w:rFonts w:ascii="Times New Roman" w:hAnsi="Times New Roman" w:cs="Times New Roman"/>
          <w:sz w:val="24"/>
        </w:rPr>
        <w:t xml:space="preserve"> trick on Antony which </w:t>
      </w:r>
      <w:r w:rsidR="00BA5E0C">
        <w:rPr>
          <w:rFonts w:ascii="Times New Roman" w:hAnsi="Times New Roman" w:cs="Times New Roman"/>
          <w:sz w:val="24"/>
        </w:rPr>
        <w:t>prompts</w:t>
      </w:r>
      <w:r w:rsidR="00293318">
        <w:rPr>
          <w:rFonts w:ascii="Times New Roman" w:hAnsi="Times New Roman" w:cs="Times New Roman"/>
          <w:sz w:val="24"/>
        </w:rPr>
        <w:t xml:space="preserve"> </w:t>
      </w:r>
      <w:r w:rsidR="003606A3">
        <w:rPr>
          <w:rFonts w:ascii="Times New Roman" w:hAnsi="Times New Roman" w:cs="Times New Roman"/>
          <w:sz w:val="24"/>
        </w:rPr>
        <w:t>his</w:t>
      </w:r>
      <w:r w:rsidR="00293318">
        <w:rPr>
          <w:rFonts w:ascii="Times New Roman" w:hAnsi="Times New Roman" w:cs="Times New Roman"/>
          <w:sz w:val="24"/>
        </w:rPr>
        <w:t xml:space="preserve"> suicide.</w:t>
      </w:r>
      <w:r w:rsidR="00293318">
        <w:rPr>
          <w:rStyle w:val="FootnoteReference"/>
          <w:rFonts w:ascii="Times New Roman" w:hAnsi="Times New Roman" w:cs="Times New Roman"/>
          <w:sz w:val="24"/>
        </w:rPr>
        <w:footnoteReference w:id="57"/>
      </w:r>
      <w:r w:rsidR="000B2996">
        <w:rPr>
          <w:rFonts w:ascii="Times New Roman" w:hAnsi="Times New Roman" w:cs="Times New Roman"/>
          <w:sz w:val="24"/>
        </w:rPr>
        <w:t xml:space="preserve"> In Samuel Daniel’s </w:t>
      </w:r>
      <w:r w:rsidR="000B2996">
        <w:rPr>
          <w:rFonts w:ascii="Times New Roman" w:hAnsi="Times New Roman" w:cs="Times New Roman"/>
          <w:i/>
          <w:sz w:val="24"/>
        </w:rPr>
        <w:t>Cleopatra</w:t>
      </w:r>
      <w:r w:rsidR="000B2996">
        <w:rPr>
          <w:rFonts w:ascii="Times New Roman" w:hAnsi="Times New Roman" w:cs="Times New Roman"/>
          <w:sz w:val="24"/>
        </w:rPr>
        <w:t xml:space="preserve">, her immorality is the focus of the play, </w:t>
      </w:r>
      <w:r w:rsidR="001D6817">
        <w:rPr>
          <w:rFonts w:ascii="Times New Roman" w:hAnsi="Times New Roman" w:cs="Times New Roman"/>
          <w:sz w:val="24"/>
        </w:rPr>
        <w:t>with the Chorus decrying ‘her disordered lust’ which has caused their enslavement to Rome.</w:t>
      </w:r>
      <w:r w:rsidR="001D6817">
        <w:rPr>
          <w:rStyle w:val="FootnoteReference"/>
          <w:rFonts w:ascii="Times New Roman" w:hAnsi="Times New Roman" w:cs="Times New Roman"/>
          <w:sz w:val="24"/>
        </w:rPr>
        <w:footnoteReference w:id="58"/>
      </w:r>
      <w:r w:rsidR="001D6817">
        <w:rPr>
          <w:rFonts w:ascii="Times New Roman" w:hAnsi="Times New Roman" w:cs="Times New Roman"/>
          <w:sz w:val="24"/>
        </w:rPr>
        <w:t xml:space="preserve"> Cleopatra is</w:t>
      </w:r>
      <w:r w:rsidR="00194150">
        <w:rPr>
          <w:rFonts w:ascii="Times New Roman" w:hAnsi="Times New Roman" w:cs="Times New Roman"/>
          <w:sz w:val="24"/>
        </w:rPr>
        <w:t xml:space="preserve"> also</w:t>
      </w:r>
      <w:r w:rsidR="001D6817">
        <w:rPr>
          <w:rFonts w:ascii="Times New Roman" w:hAnsi="Times New Roman" w:cs="Times New Roman"/>
          <w:sz w:val="24"/>
        </w:rPr>
        <w:t xml:space="preserve"> blamed for Antony’s defeat, which she herself admits:</w:t>
      </w:r>
    </w:p>
    <w:p w14:paraId="34BB5156" w14:textId="146144C3" w:rsidR="001D6817" w:rsidRDefault="00BF55B9" w:rsidP="002D58FB">
      <w:pPr>
        <w:spacing w:line="240" w:lineRule="auto"/>
        <w:ind w:left="720"/>
        <w:jc w:val="both"/>
        <w:rPr>
          <w:rFonts w:ascii="Times New Roman" w:hAnsi="Times New Roman" w:cs="Times New Roman"/>
          <w:sz w:val="24"/>
        </w:rPr>
      </w:pPr>
      <w:r>
        <w:rPr>
          <w:rFonts w:ascii="Times New Roman" w:hAnsi="Times New Roman" w:cs="Times New Roman"/>
          <w:sz w:val="24"/>
        </w:rPr>
        <w:t>Th</w:t>
      </w:r>
      <w:r w:rsidR="001D6817">
        <w:rPr>
          <w:rFonts w:ascii="Times New Roman" w:hAnsi="Times New Roman" w:cs="Times New Roman"/>
          <w:sz w:val="24"/>
        </w:rPr>
        <w:t>e world doth know</w:t>
      </w:r>
    </w:p>
    <w:p w14:paraId="17CA9738" w14:textId="16282655" w:rsidR="001D6817" w:rsidRDefault="001D6817" w:rsidP="002D58FB">
      <w:pPr>
        <w:spacing w:line="240" w:lineRule="auto"/>
        <w:ind w:left="720"/>
        <w:jc w:val="both"/>
        <w:rPr>
          <w:rFonts w:ascii="Times New Roman" w:hAnsi="Times New Roman" w:cs="Times New Roman"/>
          <w:sz w:val="24"/>
        </w:rPr>
      </w:pPr>
      <w:r>
        <w:rPr>
          <w:rFonts w:ascii="Times New Roman" w:hAnsi="Times New Roman" w:cs="Times New Roman"/>
          <w:sz w:val="24"/>
        </w:rPr>
        <w:t>That my misfortune hath procured thine…</w:t>
      </w:r>
      <w:r>
        <w:rPr>
          <w:rStyle w:val="FootnoteReference"/>
          <w:rFonts w:ascii="Times New Roman" w:hAnsi="Times New Roman" w:cs="Times New Roman"/>
          <w:sz w:val="24"/>
        </w:rPr>
        <w:footnoteReference w:id="59"/>
      </w:r>
    </w:p>
    <w:p w14:paraId="7B5802A8" w14:textId="1B2CFC47" w:rsidR="001D6817" w:rsidRDefault="001D6817" w:rsidP="002D58FB">
      <w:pPr>
        <w:spacing w:line="240" w:lineRule="auto"/>
        <w:jc w:val="both"/>
        <w:rPr>
          <w:rFonts w:ascii="Times New Roman" w:hAnsi="Times New Roman" w:cs="Times New Roman"/>
          <w:sz w:val="24"/>
        </w:rPr>
      </w:pPr>
      <w:r>
        <w:rPr>
          <w:rFonts w:ascii="Times New Roman" w:hAnsi="Times New Roman" w:cs="Times New Roman"/>
          <w:sz w:val="24"/>
        </w:rPr>
        <w:t>Moreover, doubt is cast over whether Cleopatra loved Antony in the first place</w:t>
      </w:r>
      <w:r w:rsidR="00BA5E0C">
        <w:rPr>
          <w:rFonts w:ascii="Times New Roman" w:hAnsi="Times New Roman" w:cs="Times New Roman"/>
          <w:sz w:val="24"/>
        </w:rPr>
        <w:t>:</w:t>
      </w:r>
    </w:p>
    <w:p w14:paraId="0F413427" w14:textId="432313E1" w:rsidR="001D6817" w:rsidRDefault="001D6817" w:rsidP="002D58FB">
      <w:pPr>
        <w:spacing w:line="240" w:lineRule="auto"/>
        <w:ind w:left="720"/>
        <w:jc w:val="both"/>
        <w:rPr>
          <w:rFonts w:ascii="Times New Roman" w:hAnsi="Times New Roman" w:cs="Times New Roman"/>
          <w:sz w:val="24"/>
        </w:rPr>
      </w:pPr>
      <w:r>
        <w:rPr>
          <w:rFonts w:ascii="Times New Roman" w:hAnsi="Times New Roman" w:cs="Times New Roman"/>
          <w:sz w:val="24"/>
        </w:rPr>
        <w:t>Affliction makes me truly love thee</w:t>
      </w:r>
    </w:p>
    <w:p w14:paraId="33BE8145" w14:textId="139D6496" w:rsidR="001D6817" w:rsidRDefault="001D6817"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Which Anthony, (I must </w:t>
      </w:r>
      <w:proofErr w:type="spellStart"/>
      <w:r>
        <w:rPr>
          <w:rFonts w:ascii="Times New Roman" w:hAnsi="Times New Roman" w:cs="Times New Roman"/>
          <w:sz w:val="24"/>
        </w:rPr>
        <w:t>confesse</w:t>
      </w:r>
      <w:proofErr w:type="spellEnd"/>
      <w:r>
        <w:rPr>
          <w:rFonts w:ascii="Times New Roman" w:hAnsi="Times New Roman" w:cs="Times New Roman"/>
          <w:sz w:val="24"/>
        </w:rPr>
        <w:t xml:space="preserve"> my fault,)</w:t>
      </w:r>
    </w:p>
    <w:p w14:paraId="1A710B6B" w14:textId="5B27AD6B" w:rsidR="001D6817" w:rsidRDefault="001D6817" w:rsidP="002D58FB">
      <w:pPr>
        <w:spacing w:line="240" w:lineRule="auto"/>
        <w:ind w:left="720"/>
        <w:jc w:val="both"/>
        <w:rPr>
          <w:rFonts w:ascii="Times New Roman" w:hAnsi="Times New Roman" w:cs="Times New Roman"/>
          <w:sz w:val="24"/>
        </w:rPr>
      </w:pPr>
      <w:r>
        <w:rPr>
          <w:rFonts w:ascii="Times New Roman" w:hAnsi="Times New Roman" w:cs="Times New Roman"/>
          <w:sz w:val="24"/>
        </w:rPr>
        <w:t>I never did sincerely until now…</w:t>
      </w:r>
      <w:r>
        <w:rPr>
          <w:rStyle w:val="FootnoteReference"/>
          <w:rFonts w:ascii="Times New Roman" w:hAnsi="Times New Roman" w:cs="Times New Roman"/>
          <w:sz w:val="24"/>
        </w:rPr>
        <w:footnoteReference w:id="60"/>
      </w:r>
    </w:p>
    <w:p w14:paraId="1C34D424" w14:textId="7CD818A1" w:rsidR="00846298" w:rsidRDefault="00846298" w:rsidP="002D58FB">
      <w:pPr>
        <w:spacing w:line="240" w:lineRule="auto"/>
        <w:jc w:val="both"/>
        <w:rPr>
          <w:rFonts w:ascii="Times New Roman" w:hAnsi="Times New Roman" w:cs="Times New Roman"/>
          <w:sz w:val="24"/>
        </w:rPr>
      </w:pPr>
      <w:r>
        <w:rPr>
          <w:rFonts w:ascii="Times New Roman" w:hAnsi="Times New Roman" w:cs="Times New Roman"/>
          <w:sz w:val="24"/>
        </w:rPr>
        <w:t>Shakespeare’s Cleopatra</w:t>
      </w:r>
      <w:r w:rsidR="002D77D2">
        <w:rPr>
          <w:rFonts w:ascii="Times New Roman" w:hAnsi="Times New Roman" w:cs="Times New Roman"/>
          <w:sz w:val="24"/>
        </w:rPr>
        <w:t xml:space="preserve"> in part</w:t>
      </w:r>
      <w:r>
        <w:rPr>
          <w:rFonts w:ascii="Times New Roman" w:hAnsi="Times New Roman" w:cs="Times New Roman"/>
          <w:sz w:val="24"/>
        </w:rPr>
        <w:t xml:space="preserve"> follows this v</w:t>
      </w:r>
      <w:r w:rsidR="00A52BED">
        <w:rPr>
          <w:rFonts w:ascii="Times New Roman" w:hAnsi="Times New Roman" w:cs="Times New Roman"/>
          <w:sz w:val="24"/>
        </w:rPr>
        <w:t>ers</w:t>
      </w:r>
      <w:r>
        <w:rPr>
          <w:rFonts w:ascii="Times New Roman" w:hAnsi="Times New Roman" w:cs="Times New Roman"/>
          <w:sz w:val="24"/>
        </w:rPr>
        <w:t>ion of a lustful, inconstant Cleopatra,</w:t>
      </w:r>
      <w:r w:rsidR="00F67321">
        <w:rPr>
          <w:rFonts w:ascii="Times New Roman" w:hAnsi="Times New Roman" w:cs="Times New Roman"/>
          <w:sz w:val="24"/>
        </w:rPr>
        <w:t xml:space="preserve"> whose love for Antony we can</w:t>
      </w:r>
      <w:r w:rsidR="00763CDA">
        <w:rPr>
          <w:rFonts w:ascii="Times New Roman" w:hAnsi="Times New Roman" w:cs="Times New Roman"/>
          <w:sz w:val="24"/>
        </w:rPr>
        <w:t>not</w:t>
      </w:r>
      <w:r w:rsidR="00F67321">
        <w:rPr>
          <w:rFonts w:ascii="Times New Roman" w:hAnsi="Times New Roman" w:cs="Times New Roman"/>
          <w:sz w:val="24"/>
        </w:rPr>
        <w:t xml:space="preserve"> be assured</w:t>
      </w:r>
      <w:r w:rsidR="00A52BED">
        <w:rPr>
          <w:rFonts w:ascii="Times New Roman" w:hAnsi="Times New Roman" w:cs="Times New Roman"/>
          <w:sz w:val="24"/>
        </w:rPr>
        <w:t xml:space="preserve"> of</w:t>
      </w:r>
      <w:r w:rsidR="00F67321">
        <w:rPr>
          <w:rFonts w:ascii="Times New Roman" w:hAnsi="Times New Roman" w:cs="Times New Roman"/>
          <w:sz w:val="24"/>
        </w:rPr>
        <w:t>,</w:t>
      </w:r>
      <w:r>
        <w:rPr>
          <w:rFonts w:ascii="Times New Roman" w:hAnsi="Times New Roman" w:cs="Times New Roman"/>
          <w:sz w:val="24"/>
        </w:rPr>
        <w:t xml:space="preserve"> </w:t>
      </w:r>
      <w:r w:rsidR="00BA5E0C">
        <w:rPr>
          <w:rFonts w:ascii="Times New Roman" w:hAnsi="Times New Roman" w:cs="Times New Roman"/>
          <w:sz w:val="24"/>
        </w:rPr>
        <w:t>through</w:t>
      </w:r>
      <w:r>
        <w:rPr>
          <w:rFonts w:ascii="Times New Roman" w:hAnsi="Times New Roman" w:cs="Times New Roman"/>
          <w:sz w:val="24"/>
        </w:rPr>
        <w:t xml:space="preserve"> her continual toying with Antony which culminates </w:t>
      </w:r>
      <w:r w:rsidR="005A7649">
        <w:rPr>
          <w:rFonts w:ascii="Times New Roman" w:hAnsi="Times New Roman" w:cs="Times New Roman"/>
          <w:sz w:val="24"/>
        </w:rPr>
        <w:t xml:space="preserve">again </w:t>
      </w:r>
      <w:r>
        <w:rPr>
          <w:rFonts w:ascii="Times New Roman" w:hAnsi="Times New Roman" w:cs="Times New Roman"/>
          <w:sz w:val="24"/>
        </w:rPr>
        <w:t xml:space="preserve">in </w:t>
      </w:r>
      <w:r w:rsidR="005A7649">
        <w:rPr>
          <w:rFonts w:ascii="Times New Roman" w:hAnsi="Times New Roman" w:cs="Times New Roman"/>
          <w:sz w:val="24"/>
        </w:rPr>
        <w:t>the trick which causes</w:t>
      </w:r>
      <w:r>
        <w:rPr>
          <w:rFonts w:ascii="Times New Roman" w:hAnsi="Times New Roman" w:cs="Times New Roman"/>
          <w:sz w:val="24"/>
        </w:rPr>
        <w:t xml:space="preserve"> his suicide.</w:t>
      </w:r>
      <w:r>
        <w:rPr>
          <w:rStyle w:val="FootnoteReference"/>
          <w:rFonts w:ascii="Times New Roman" w:hAnsi="Times New Roman" w:cs="Times New Roman"/>
          <w:sz w:val="24"/>
        </w:rPr>
        <w:footnoteReference w:id="61"/>
      </w:r>
      <w:r>
        <w:rPr>
          <w:rFonts w:ascii="Times New Roman" w:hAnsi="Times New Roman" w:cs="Times New Roman"/>
          <w:sz w:val="24"/>
        </w:rPr>
        <w:t xml:space="preserve"> Her conversation with Charmian about how to keep a man </w:t>
      </w:r>
      <w:r w:rsidR="006E63E2">
        <w:rPr>
          <w:rFonts w:ascii="Times New Roman" w:hAnsi="Times New Roman" w:cs="Times New Roman"/>
          <w:sz w:val="24"/>
        </w:rPr>
        <w:t>is parodic of the virtuous constancy expected of</w:t>
      </w:r>
      <w:r w:rsidR="00A52BED">
        <w:rPr>
          <w:rFonts w:ascii="Times New Roman" w:hAnsi="Times New Roman" w:cs="Times New Roman"/>
          <w:sz w:val="24"/>
        </w:rPr>
        <w:t xml:space="preserve"> and recommended to</w:t>
      </w:r>
      <w:r w:rsidR="006E63E2">
        <w:rPr>
          <w:rFonts w:ascii="Times New Roman" w:hAnsi="Times New Roman" w:cs="Times New Roman"/>
          <w:sz w:val="24"/>
        </w:rPr>
        <w:t xml:space="preserve"> women: </w:t>
      </w:r>
    </w:p>
    <w:p w14:paraId="66416C69" w14:textId="2F5D0236" w:rsidR="006E63E2" w:rsidRDefault="006E63E2" w:rsidP="002D58FB">
      <w:pPr>
        <w:spacing w:line="240" w:lineRule="auto"/>
        <w:ind w:left="720"/>
        <w:jc w:val="both"/>
        <w:rPr>
          <w:rFonts w:ascii="Times New Roman" w:hAnsi="Times New Roman" w:cs="Times New Roman"/>
          <w:sz w:val="24"/>
        </w:rPr>
      </w:pPr>
      <w:r>
        <w:rPr>
          <w:rFonts w:ascii="Times New Roman" w:hAnsi="Times New Roman" w:cs="Times New Roman"/>
          <w:sz w:val="24"/>
        </w:rPr>
        <w:t>CHARMIAN. In each thing give him way, cross him in nothing.</w:t>
      </w:r>
    </w:p>
    <w:p w14:paraId="3CDB86CC" w14:textId="1F47021C" w:rsidR="006E63E2" w:rsidRDefault="006E63E2"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CLEOPATRA. Thou </w:t>
      </w:r>
      <w:proofErr w:type="spellStart"/>
      <w:r>
        <w:rPr>
          <w:rFonts w:ascii="Times New Roman" w:hAnsi="Times New Roman" w:cs="Times New Roman"/>
          <w:sz w:val="24"/>
        </w:rPr>
        <w:t>teachest</w:t>
      </w:r>
      <w:proofErr w:type="spellEnd"/>
      <w:r>
        <w:rPr>
          <w:rFonts w:ascii="Times New Roman" w:hAnsi="Times New Roman" w:cs="Times New Roman"/>
          <w:sz w:val="24"/>
        </w:rPr>
        <w:t xml:space="preserve"> like a fool- the way to lose him.</w:t>
      </w:r>
      <w:r>
        <w:rPr>
          <w:rStyle w:val="FootnoteReference"/>
          <w:rFonts w:ascii="Times New Roman" w:hAnsi="Times New Roman" w:cs="Times New Roman"/>
          <w:sz w:val="24"/>
        </w:rPr>
        <w:footnoteReference w:id="62"/>
      </w:r>
    </w:p>
    <w:p w14:paraId="5653B95A" w14:textId="321C5146" w:rsidR="00666654" w:rsidRPr="00A016C0" w:rsidRDefault="006E63E2" w:rsidP="002D58FB">
      <w:pPr>
        <w:spacing w:line="240" w:lineRule="auto"/>
        <w:jc w:val="both"/>
        <w:rPr>
          <w:rFonts w:ascii="Times New Roman" w:hAnsi="Times New Roman" w:cs="Times New Roman"/>
          <w:sz w:val="24"/>
        </w:rPr>
      </w:pPr>
      <w:r>
        <w:rPr>
          <w:rFonts w:ascii="Times New Roman" w:hAnsi="Times New Roman" w:cs="Times New Roman"/>
          <w:sz w:val="24"/>
        </w:rPr>
        <w:t xml:space="preserve">This is exactly the perspective taken by the ‘licentious woman’ Sylvia in </w:t>
      </w:r>
      <w:r>
        <w:rPr>
          <w:rFonts w:ascii="Times New Roman" w:hAnsi="Times New Roman" w:cs="Times New Roman"/>
          <w:i/>
          <w:sz w:val="24"/>
        </w:rPr>
        <w:t>The Virtuous Octavia</w:t>
      </w:r>
      <w:r>
        <w:rPr>
          <w:rFonts w:ascii="Times New Roman" w:hAnsi="Times New Roman" w:cs="Times New Roman"/>
          <w:sz w:val="24"/>
        </w:rPr>
        <w:t xml:space="preserve">, who similarly argues that the best way to retain a man’s affections is to </w:t>
      </w:r>
      <w:r w:rsidR="00053B0F">
        <w:rPr>
          <w:rFonts w:ascii="Times New Roman" w:hAnsi="Times New Roman" w:cs="Times New Roman"/>
          <w:sz w:val="24"/>
        </w:rPr>
        <w:t xml:space="preserve">be </w:t>
      </w:r>
      <w:r>
        <w:rPr>
          <w:rFonts w:ascii="Times New Roman" w:hAnsi="Times New Roman" w:cs="Times New Roman"/>
          <w:sz w:val="24"/>
        </w:rPr>
        <w:t>inconstan</w:t>
      </w:r>
      <w:r w:rsidR="00053B0F">
        <w:rPr>
          <w:rFonts w:ascii="Times New Roman" w:hAnsi="Times New Roman" w:cs="Times New Roman"/>
          <w:sz w:val="24"/>
        </w:rPr>
        <w:t>t</w:t>
      </w:r>
      <w:r>
        <w:rPr>
          <w:rFonts w:ascii="Times New Roman" w:hAnsi="Times New Roman" w:cs="Times New Roman"/>
          <w:sz w:val="24"/>
        </w:rPr>
        <w:t>.</w:t>
      </w:r>
      <w:r>
        <w:rPr>
          <w:rStyle w:val="FootnoteReference"/>
          <w:rFonts w:ascii="Times New Roman" w:hAnsi="Times New Roman" w:cs="Times New Roman"/>
          <w:sz w:val="24"/>
        </w:rPr>
        <w:footnoteReference w:id="63"/>
      </w:r>
      <w:r>
        <w:rPr>
          <w:rFonts w:ascii="Times New Roman" w:hAnsi="Times New Roman" w:cs="Times New Roman"/>
          <w:sz w:val="24"/>
        </w:rPr>
        <w:t xml:space="preserve"> </w:t>
      </w:r>
      <w:r w:rsidR="007E39B4">
        <w:rPr>
          <w:rFonts w:ascii="Times New Roman" w:hAnsi="Times New Roman" w:cs="Times New Roman"/>
          <w:sz w:val="24"/>
        </w:rPr>
        <w:t xml:space="preserve">In </w:t>
      </w:r>
      <w:r w:rsidR="007E39B4">
        <w:rPr>
          <w:rFonts w:ascii="Times New Roman" w:hAnsi="Times New Roman" w:cs="Times New Roman"/>
          <w:i/>
          <w:sz w:val="24"/>
        </w:rPr>
        <w:t>Caesar’s Revenge</w:t>
      </w:r>
      <w:r w:rsidR="007E39B4">
        <w:rPr>
          <w:rFonts w:ascii="Times New Roman" w:hAnsi="Times New Roman" w:cs="Times New Roman"/>
          <w:sz w:val="24"/>
        </w:rPr>
        <w:t>, Cleopatra bewitch</w:t>
      </w:r>
      <w:r w:rsidR="00430DD7">
        <w:rPr>
          <w:rFonts w:ascii="Times New Roman" w:hAnsi="Times New Roman" w:cs="Times New Roman"/>
          <w:sz w:val="24"/>
        </w:rPr>
        <w:t>es</w:t>
      </w:r>
      <w:r w:rsidR="007E39B4">
        <w:rPr>
          <w:rFonts w:ascii="Times New Roman" w:hAnsi="Times New Roman" w:cs="Times New Roman"/>
          <w:sz w:val="24"/>
        </w:rPr>
        <w:t xml:space="preserve"> </w:t>
      </w:r>
      <w:r w:rsidR="00682F5E">
        <w:rPr>
          <w:rFonts w:ascii="Times New Roman" w:hAnsi="Times New Roman" w:cs="Times New Roman"/>
          <w:sz w:val="24"/>
        </w:rPr>
        <w:t>men</w:t>
      </w:r>
      <w:r w:rsidR="007E39B4">
        <w:rPr>
          <w:rFonts w:ascii="Times New Roman" w:hAnsi="Times New Roman" w:cs="Times New Roman"/>
          <w:sz w:val="24"/>
        </w:rPr>
        <w:t xml:space="preserve"> with her beauty, with Caesar comparing her to Circe and </w:t>
      </w:r>
      <w:r w:rsidR="00182A4D">
        <w:rPr>
          <w:rFonts w:ascii="Times New Roman" w:hAnsi="Times New Roman" w:cs="Times New Roman"/>
          <w:sz w:val="24"/>
        </w:rPr>
        <w:t>Antony’s ‘</w:t>
      </w:r>
      <w:r w:rsidR="00182A4D" w:rsidRPr="00182A4D">
        <w:rPr>
          <w:rFonts w:ascii="Times New Roman" w:hAnsi="Times New Roman" w:cs="Times New Roman"/>
          <w:sz w:val="24"/>
        </w:rPr>
        <w:t>bonus genius</w:t>
      </w:r>
      <w:r w:rsidR="00182A4D">
        <w:rPr>
          <w:rFonts w:ascii="Times New Roman" w:hAnsi="Times New Roman" w:cs="Times New Roman"/>
          <w:sz w:val="24"/>
        </w:rPr>
        <w:t>’</w:t>
      </w:r>
      <w:r w:rsidR="00182A4D" w:rsidRPr="00182A4D">
        <w:rPr>
          <w:rFonts w:ascii="Times New Roman" w:hAnsi="Times New Roman" w:cs="Times New Roman"/>
          <w:sz w:val="24"/>
        </w:rPr>
        <w:t xml:space="preserve"> </w:t>
      </w:r>
      <w:r w:rsidR="00182A4D">
        <w:rPr>
          <w:rFonts w:ascii="Times New Roman" w:hAnsi="Times New Roman" w:cs="Times New Roman"/>
          <w:sz w:val="24"/>
        </w:rPr>
        <w:t xml:space="preserve">to ‘that </w:t>
      </w:r>
      <w:proofErr w:type="spellStart"/>
      <w:r w:rsidR="00182A4D">
        <w:rPr>
          <w:rFonts w:ascii="Times New Roman" w:hAnsi="Times New Roman" w:cs="Times New Roman"/>
          <w:sz w:val="24"/>
        </w:rPr>
        <w:t>vaine</w:t>
      </w:r>
      <w:proofErr w:type="spellEnd"/>
      <w:r w:rsidR="00182A4D">
        <w:rPr>
          <w:rFonts w:ascii="Times New Roman" w:hAnsi="Times New Roman" w:cs="Times New Roman"/>
          <w:sz w:val="24"/>
        </w:rPr>
        <w:t xml:space="preserve"> inconstant </w:t>
      </w:r>
      <w:proofErr w:type="spellStart"/>
      <w:r w:rsidR="00182A4D">
        <w:rPr>
          <w:rFonts w:ascii="Times New Roman" w:hAnsi="Times New Roman" w:cs="Times New Roman"/>
          <w:sz w:val="24"/>
        </w:rPr>
        <w:t>Greekish</w:t>
      </w:r>
      <w:proofErr w:type="spellEnd"/>
      <w:r w:rsidR="00182A4D">
        <w:rPr>
          <w:rFonts w:ascii="Times New Roman" w:hAnsi="Times New Roman" w:cs="Times New Roman"/>
          <w:sz w:val="24"/>
        </w:rPr>
        <w:t xml:space="preserve"> dame’ Helen.</w:t>
      </w:r>
      <w:r w:rsidR="00182A4D">
        <w:rPr>
          <w:rStyle w:val="FootnoteReference"/>
          <w:rFonts w:ascii="Times New Roman" w:hAnsi="Times New Roman" w:cs="Times New Roman"/>
          <w:sz w:val="24"/>
        </w:rPr>
        <w:footnoteReference w:id="64"/>
      </w:r>
      <w:r w:rsidR="00182A4D">
        <w:rPr>
          <w:rFonts w:ascii="Times New Roman" w:hAnsi="Times New Roman" w:cs="Times New Roman"/>
          <w:sz w:val="24"/>
        </w:rPr>
        <w:t xml:space="preserve"> Cleopatra’s first appearance is placed just after the goodbye between Cornelia and Pompey, contrasting the two women: Cornelia</w:t>
      </w:r>
      <w:r w:rsidR="00194150">
        <w:rPr>
          <w:rFonts w:ascii="Times New Roman" w:hAnsi="Times New Roman" w:cs="Times New Roman"/>
          <w:sz w:val="24"/>
        </w:rPr>
        <w:t>,</w:t>
      </w:r>
      <w:r w:rsidR="00182A4D">
        <w:rPr>
          <w:rFonts w:ascii="Times New Roman" w:hAnsi="Times New Roman" w:cs="Times New Roman"/>
          <w:sz w:val="24"/>
        </w:rPr>
        <w:t xml:space="preserve"> who is willing to</w:t>
      </w:r>
      <w:r w:rsidR="00EC51EC">
        <w:rPr>
          <w:rFonts w:ascii="Times New Roman" w:hAnsi="Times New Roman" w:cs="Times New Roman"/>
          <w:sz w:val="24"/>
        </w:rPr>
        <w:t xml:space="preserve"> obey and</w:t>
      </w:r>
      <w:r w:rsidR="00182A4D">
        <w:rPr>
          <w:rFonts w:ascii="Times New Roman" w:hAnsi="Times New Roman" w:cs="Times New Roman"/>
          <w:sz w:val="24"/>
        </w:rPr>
        <w:t xml:space="preserve"> sacrifice herself for her husband, and Cleopatra who </w:t>
      </w:r>
      <w:r w:rsidR="00881ECA">
        <w:rPr>
          <w:rFonts w:ascii="Times New Roman" w:hAnsi="Times New Roman" w:cs="Times New Roman"/>
          <w:sz w:val="24"/>
        </w:rPr>
        <w:t>has</w:t>
      </w:r>
      <w:r w:rsidR="00182A4D">
        <w:rPr>
          <w:rFonts w:ascii="Times New Roman" w:hAnsi="Times New Roman" w:cs="Times New Roman"/>
          <w:sz w:val="24"/>
        </w:rPr>
        <w:t xml:space="preserve"> ‘tyrannizing eyes’ and whom Caesar proclaims shall ‘</w:t>
      </w:r>
      <w:proofErr w:type="spellStart"/>
      <w:r w:rsidR="00182A4D">
        <w:rPr>
          <w:rFonts w:ascii="Times New Roman" w:hAnsi="Times New Roman" w:cs="Times New Roman"/>
          <w:sz w:val="24"/>
        </w:rPr>
        <w:t>raigne</w:t>
      </w:r>
      <w:proofErr w:type="spellEnd"/>
      <w:r w:rsidR="00182A4D">
        <w:rPr>
          <w:rFonts w:ascii="Times New Roman" w:hAnsi="Times New Roman" w:cs="Times New Roman"/>
          <w:sz w:val="24"/>
        </w:rPr>
        <w:t xml:space="preserve"> in Caesar’s conquered thoughts.’</w:t>
      </w:r>
      <w:r w:rsidR="00182A4D">
        <w:rPr>
          <w:rStyle w:val="FootnoteReference"/>
          <w:rFonts w:ascii="Times New Roman" w:hAnsi="Times New Roman" w:cs="Times New Roman"/>
          <w:sz w:val="24"/>
        </w:rPr>
        <w:footnoteReference w:id="65"/>
      </w:r>
      <w:r w:rsidR="009B0116">
        <w:rPr>
          <w:rFonts w:ascii="Times New Roman" w:hAnsi="Times New Roman" w:cs="Times New Roman"/>
          <w:sz w:val="24"/>
        </w:rPr>
        <w:t xml:space="preserve"> </w:t>
      </w:r>
      <w:r w:rsidR="00201019">
        <w:rPr>
          <w:rFonts w:ascii="Times New Roman" w:hAnsi="Times New Roman" w:cs="Times New Roman"/>
          <w:sz w:val="24"/>
        </w:rPr>
        <w:t>Imagery</w:t>
      </w:r>
      <w:r w:rsidR="009B0116">
        <w:rPr>
          <w:rFonts w:ascii="Times New Roman" w:hAnsi="Times New Roman" w:cs="Times New Roman"/>
          <w:sz w:val="24"/>
        </w:rPr>
        <w:t xml:space="preserve"> of Cleopatra</w:t>
      </w:r>
      <w:r w:rsidR="00201019">
        <w:rPr>
          <w:rFonts w:ascii="Times New Roman" w:hAnsi="Times New Roman" w:cs="Times New Roman"/>
          <w:sz w:val="24"/>
        </w:rPr>
        <w:t>’s</w:t>
      </w:r>
      <w:r w:rsidR="009B0116">
        <w:rPr>
          <w:rFonts w:ascii="Times New Roman" w:hAnsi="Times New Roman" w:cs="Times New Roman"/>
          <w:sz w:val="24"/>
        </w:rPr>
        <w:t xml:space="preserve"> inconstan</w:t>
      </w:r>
      <w:r w:rsidR="00201019">
        <w:rPr>
          <w:rFonts w:ascii="Times New Roman" w:hAnsi="Times New Roman" w:cs="Times New Roman"/>
          <w:sz w:val="24"/>
        </w:rPr>
        <w:t>cy</w:t>
      </w:r>
      <w:r w:rsidR="00A016C0">
        <w:rPr>
          <w:rFonts w:ascii="Times New Roman" w:hAnsi="Times New Roman" w:cs="Times New Roman"/>
          <w:sz w:val="24"/>
        </w:rPr>
        <w:t xml:space="preserve"> w</w:t>
      </w:r>
      <w:r w:rsidR="006E4BF8">
        <w:rPr>
          <w:rFonts w:ascii="Times New Roman" w:hAnsi="Times New Roman" w:cs="Times New Roman"/>
          <w:sz w:val="24"/>
        </w:rPr>
        <w:t xml:space="preserve">as </w:t>
      </w:r>
      <w:r w:rsidR="00A016C0">
        <w:rPr>
          <w:rFonts w:ascii="Times New Roman" w:hAnsi="Times New Roman" w:cs="Times New Roman"/>
          <w:sz w:val="24"/>
        </w:rPr>
        <w:t>so pervasive that</w:t>
      </w:r>
      <w:r w:rsidR="002C665E">
        <w:rPr>
          <w:rFonts w:ascii="Times New Roman" w:hAnsi="Times New Roman" w:cs="Times New Roman"/>
          <w:sz w:val="24"/>
        </w:rPr>
        <w:t xml:space="preserve"> it</w:t>
      </w:r>
      <w:r w:rsidR="00A016C0">
        <w:rPr>
          <w:rFonts w:ascii="Times New Roman" w:hAnsi="Times New Roman" w:cs="Times New Roman"/>
          <w:sz w:val="24"/>
        </w:rPr>
        <w:t xml:space="preserve"> probably influenced the portrayal of George Chapman’s fictional Egyptian Queen</w:t>
      </w:r>
      <w:r w:rsidR="002C665E">
        <w:rPr>
          <w:rFonts w:ascii="Times New Roman" w:hAnsi="Times New Roman" w:cs="Times New Roman"/>
          <w:sz w:val="24"/>
        </w:rPr>
        <w:t>,</w:t>
      </w:r>
      <w:r w:rsidR="00A016C0">
        <w:rPr>
          <w:rFonts w:ascii="Times New Roman" w:hAnsi="Times New Roman" w:cs="Times New Roman"/>
          <w:sz w:val="24"/>
        </w:rPr>
        <w:t xml:space="preserve"> </w:t>
      </w:r>
      <w:proofErr w:type="spellStart"/>
      <w:r w:rsidR="00A016C0">
        <w:rPr>
          <w:rFonts w:ascii="Times New Roman" w:hAnsi="Times New Roman" w:cs="Times New Roman"/>
          <w:sz w:val="24"/>
        </w:rPr>
        <w:t>Aegiale</w:t>
      </w:r>
      <w:proofErr w:type="spellEnd"/>
      <w:r w:rsidR="002C665E">
        <w:rPr>
          <w:rFonts w:ascii="Times New Roman" w:hAnsi="Times New Roman" w:cs="Times New Roman"/>
          <w:sz w:val="24"/>
        </w:rPr>
        <w:t>,</w:t>
      </w:r>
      <w:r w:rsidR="00A016C0">
        <w:rPr>
          <w:rFonts w:ascii="Times New Roman" w:hAnsi="Times New Roman" w:cs="Times New Roman"/>
          <w:sz w:val="24"/>
        </w:rPr>
        <w:t xml:space="preserve"> </w:t>
      </w:r>
      <w:r w:rsidR="00A016C0">
        <w:rPr>
          <w:rFonts w:ascii="Times New Roman" w:hAnsi="Times New Roman" w:cs="Times New Roman"/>
          <w:sz w:val="24"/>
        </w:rPr>
        <w:lastRenderedPageBreak/>
        <w:t xml:space="preserve">in </w:t>
      </w:r>
      <w:r w:rsidR="00A016C0">
        <w:rPr>
          <w:rFonts w:ascii="Times New Roman" w:hAnsi="Times New Roman" w:cs="Times New Roman"/>
          <w:i/>
          <w:sz w:val="24"/>
        </w:rPr>
        <w:t>The Blind Beggar of Alexandria</w:t>
      </w:r>
      <w:r w:rsidR="00A016C0">
        <w:rPr>
          <w:rFonts w:ascii="Times New Roman" w:hAnsi="Times New Roman" w:cs="Times New Roman"/>
          <w:sz w:val="24"/>
        </w:rPr>
        <w:t xml:space="preserve">, </w:t>
      </w:r>
      <w:r w:rsidR="003909D0">
        <w:rPr>
          <w:rFonts w:ascii="Times New Roman" w:hAnsi="Times New Roman" w:cs="Times New Roman"/>
          <w:sz w:val="24"/>
        </w:rPr>
        <w:t xml:space="preserve">who shares Cleopatra’s lustful </w:t>
      </w:r>
      <w:r w:rsidR="00201019">
        <w:rPr>
          <w:rFonts w:ascii="Times New Roman" w:hAnsi="Times New Roman" w:cs="Times New Roman"/>
          <w:sz w:val="24"/>
        </w:rPr>
        <w:t xml:space="preserve">inconstancy </w:t>
      </w:r>
      <w:r w:rsidR="00A01ADB">
        <w:rPr>
          <w:rFonts w:ascii="Times New Roman" w:hAnsi="Times New Roman" w:cs="Times New Roman"/>
          <w:sz w:val="24"/>
        </w:rPr>
        <w:t>in pursuing extra-marital relations with Cleanthes.</w:t>
      </w:r>
      <w:r w:rsidR="00820C7D">
        <w:rPr>
          <w:rStyle w:val="FootnoteReference"/>
          <w:rFonts w:ascii="Times New Roman" w:hAnsi="Times New Roman" w:cs="Times New Roman"/>
          <w:sz w:val="24"/>
        </w:rPr>
        <w:footnoteReference w:id="66"/>
      </w:r>
    </w:p>
    <w:p w14:paraId="2E1B486F" w14:textId="1D70A29D" w:rsidR="003C4F2A" w:rsidRDefault="005C1EAF" w:rsidP="002D58FB">
      <w:pPr>
        <w:spacing w:line="240" w:lineRule="auto"/>
        <w:jc w:val="both"/>
        <w:rPr>
          <w:rFonts w:ascii="Times New Roman" w:hAnsi="Times New Roman" w:cs="Times New Roman"/>
          <w:sz w:val="24"/>
        </w:rPr>
      </w:pPr>
      <w:r>
        <w:rPr>
          <w:rFonts w:ascii="Times New Roman" w:hAnsi="Times New Roman" w:cs="Times New Roman"/>
          <w:sz w:val="24"/>
        </w:rPr>
        <w:t>However, although the</w:t>
      </w:r>
      <w:r w:rsidR="00587748">
        <w:rPr>
          <w:rFonts w:ascii="Times New Roman" w:hAnsi="Times New Roman" w:cs="Times New Roman"/>
          <w:sz w:val="24"/>
        </w:rPr>
        <w:t>se</w:t>
      </w:r>
      <w:r>
        <w:rPr>
          <w:rFonts w:ascii="Times New Roman" w:hAnsi="Times New Roman" w:cs="Times New Roman"/>
          <w:sz w:val="24"/>
        </w:rPr>
        <w:t xml:space="preserve"> consistent portrayal</w:t>
      </w:r>
      <w:r w:rsidR="00AF775E">
        <w:rPr>
          <w:rFonts w:ascii="Times New Roman" w:hAnsi="Times New Roman" w:cs="Times New Roman"/>
          <w:sz w:val="24"/>
        </w:rPr>
        <w:t>s</w:t>
      </w:r>
      <w:r>
        <w:rPr>
          <w:rFonts w:ascii="Times New Roman" w:hAnsi="Times New Roman" w:cs="Times New Roman"/>
          <w:sz w:val="24"/>
        </w:rPr>
        <w:t xml:space="preserve"> of Cleopatra’s inconstancy seem to suggest that the moral of these plays will be that she must learn womanly virtues or that the audience should be encouraged</w:t>
      </w:r>
      <w:r w:rsidR="00587748">
        <w:rPr>
          <w:rFonts w:ascii="Times New Roman" w:hAnsi="Times New Roman" w:cs="Times New Roman"/>
          <w:sz w:val="24"/>
        </w:rPr>
        <w:t xml:space="preserve"> to pursue virtue</w:t>
      </w:r>
      <w:r>
        <w:rPr>
          <w:rFonts w:ascii="Times New Roman" w:hAnsi="Times New Roman" w:cs="Times New Roman"/>
          <w:sz w:val="24"/>
        </w:rPr>
        <w:t xml:space="preserve"> by her immoral example</w:t>
      </w:r>
      <w:r w:rsidR="00842E8C">
        <w:rPr>
          <w:rFonts w:ascii="Times New Roman" w:hAnsi="Times New Roman" w:cs="Times New Roman"/>
          <w:sz w:val="24"/>
        </w:rPr>
        <w:t xml:space="preserve">, a </w:t>
      </w:r>
      <w:r w:rsidR="003534FD">
        <w:rPr>
          <w:rFonts w:ascii="Times New Roman" w:hAnsi="Times New Roman" w:cs="Times New Roman"/>
          <w:sz w:val="24"/>
        </w:rPr>
        <w:t>closer</w:t>
      </w:r>
      <w:r w:rsidR="00842E8C">
        <w:rPr>
          <w:rFonts w:ascii="Times New Roman" w:hAnsi="Times New Roman" w:cs="Times New Roman"/>
          <w:sz w:val="24"/>
        </w:rPr>
        <w:t xml:space="preserve"> reading of the texts reveals a more ambiguous authorial judgement about Cleopatra’s lack of womanly virtues, with interesting implications for female rule. </w:t>
      </w:r>
      <w:r w:rsidR="003C4F2A">
        <w:rPr>
          <w:rFonts w:ascii="Times New Roman" w:hAnsi="Times New Roman" w:cs="Times New Roman"/>
          <w:sz w:val="24"/>
        </w:rPr>
        <w:t xml:space="preserve">Judgements about </w:t>
      </w:r>
      <w:r w:rsidR="00842E8C">
        <w:rPr>
          <w:rFonts w:ascii="Times New Roman" w:hAnsi="Times New Roman" w:cs="Times New Roman"/>
          <w:sz w:val="24"/>
        </w:rPr>
        <w:t>Cleopatra</w:t>
      </w:r>
      <w:r w:rsidR="003C4F2A">
        <w:rPr>
          <w:rFonts w:ascii="Times New Roman" w:hAnsi="Times New Roman" w:cs="Times New Roman"/>
          <w:sz w:val="24"/>
        </w:rPr>
        <w:t>’s morality must reflect the fact that, unlike the virtuous Roman women, she</w:t>
      </w:r>
      <w:r w:rsidR="00842E8C">
        <w:rPr>
          <w:rFonts w:ascii="Times New Roman" w:hAnsi="Times New Roman" w:cs="Times New Roman"/>
          <w:sz w:val="24"/>
        </w:rPr>
        <w:t xml:space="preserve"> is a queen and thus has different obligations</w:t>
      </w:r>
      <w:r w:rsidR="003C4F2A">
        <w:rPr>
          <w:rFonts w:ascii="Times New Roman" w:hAnsi="Times New Roman" w:cs="Times New Roman"/>
          <w:sz w:val="24"/>
        </w:rPr>
        <w:t xml:space="preserve"> to women like Cornelia and Portia.</w:t>
      </w:r>
      <w:r w:rsidR="00842E8C">
        <w:rPr>
          <w:rFonts w:ascii="Times New Roman" w:hAnsi="Times New Roman" w:cs="Times New Roman"/>
          <w:sz w:val="24"/>
        </w:rPr>
        <w:t xml:space="preserve"> We can see this most clearly in the </w:t>
      </w:r>
      <w:r w:rsidR="003C4F2A">
        <w:rPr>
          <w:rFonts w:ascii="Times New Roman" w:hAnsi="Times New Roman" w:cs="Times New Roman"/>
          <w:sz w:val="24"/>
        </w:rPr>
        <w:t>critical debate</w:t>
      </w:r>
      <w:r w:rsidR="00842E8C">
        <w:rPr>
          <w:rFonts w:ascii="Times New Roman" w:hAnsi="Times New Roman" w:cs="Times New Roman"/>
          <w:sz w:val="24"/>
        </w:rPr>
        <w:t xml:space="preserve"> </w:t>
      </w:r>
      <w:r w:rsidR="00A73F5C">
        <w:rPr>
          <w:rFonts w:ascii="Times New Roman" w:hAnsi="Times New Roman" w:cs="Times New Roman"/>
          <w:sz w:val="24"/>
        </w:rPr>
        <w:t xml:space="preserve">over </w:t>
      </w:r>
      <w:r w:rsidR="00842E8C">
        <w:rPr>
          <w:rFonts w:ascii="Times New Roman" w:hAnsi="Times New Roman" w:cs="Times New Roman"/>
          <w:sz w:val="24"/>
        </w:rPr>
        <w:t xml:space="preserve">Sidney’s </w:t>
      </w:r>
      <w:r w:rsidR="00842E8C">
        <w:rPr>
          <w:rFonts w:ascii="Times New Roman" w:hAnsi="Times New Roman" w:cs="Times New Roman"/>
          <w:i/>
          <w:sz w:val="24"/>
        </w:rPr>
        <w:t>Antonius</w:t>
      </w:r>
      <w:r w:rsidR="00842E8C">
        <w:rPr>
          <w:rFonts w:ascii="Times New Roman" w:hAnsi="Times New Roman" w:cs="Times New Roman"/>
          <w:sz w:val="24"/>
        </w:rPr>
        <w:t xml:space="preserve">. On the one hand, some critics read </w:t>
      </w:r>
      <w:r w:rsidR="00842E8C">
        <w:rPr>
          <w:rFonts w:ascii="Times New Roman" w:hAnsi="Times New Roman" w:cs="Times New Roman"/>
          <w:i/>
          <w:sz w:val="24"/>
        </w:rPr>
        <w:t xml:space="preserve">Antonius </w:t>
      </w:r>
      <w:r w:rsidR="00842E8C">
        <w:rPr>
          <w:rFonts w:ascii="Times New Roman" w:hAnsi="Times New Roman" w:cs="Times New Roman"/>
          <w:sz w:val="24"/>
        </w:rPr>
        <w:t>as an almost parabolic tale of how Cleopatra’s lack of womanly virtue has destroyed Egypt, her lover and herself.</w:t>
      </w:r>
      <w:r w:rsidR="00842E8C">
        <w:rPr>
          <w:rStyle w:val="FootnoteReference"/>
          <w:rFonts w:ascii="Times New Roman" w:hAnsi="Times New Roman" w:cs="Times New Roman"/>
          <w:sz w:val="24"/>
        </w:rPr>
        <w:footnoteReference w:id="67"/>
      </w:r>
      <w:r w:rsidR="00842E8C">
        <w:rPr>
          <w:rFonts w:ascii="Times New Roman" w:hAnsi="Times New Roman" w:cs="Times New Roman"/>
          <w:sz w:val="24"/>
        </w:rPr>
        <w:t xml:space="preserve"> </w:t>
      </w:r>
      <w:r w:rsidR="0082652F">
        <w:rPr>
          <w:rFonts w:ascii="Times New Roman" w:hAnsi="Times New Roman" w:cs="Times New Roman"/>
          <w:sz w:val="24"/>
        </w:rPr>
        <w:t xml:space="preserve">In contrast, other critics have </w:t>
      </w:r>
      <w:r w:rsidR="002200CF">
        <w:rPr>
          <w:rFonts w:ascii="Times New Roman" w:hAnsi="Times New Roman" w:cs="Times New Roman"/>
          <w:sz w:val="24"/>
        </w:rPr>
        <w:t>read the play as being sympathetic towards Cleopatra, even seeing her as an idealised heroic figure of female virtue.</w:t>
      </w:r>
      <w:r w:rsidR="002200CF">
        <w:rPr>
          <w:rStyle w:val="FootnoteReference"/>
          <w:rFonts w:ascii="Times New Roman" w:hAnsi="Times New Roman" w:cs="Times New Roman"/>
          <w:sz w:val="24"/>
        </w:rPr>
        <w:footnoteReference w:id="68"/>
      </w:r>
      <w:r w:rsidR="00285421">
        <w:rPr>
          <w:rFonts w:ascii="Times New Roman" w:hAnsi="Times New Roman" w:cs="Times New Roman"/>
          <w:sz w:val="24"/>
        </w:rPr>
        <w:t xml:space="preserve"> </w:t>
      </w:r>
      <w:r w:rsidR="003C4F2A">
        <w:rPr>
          <w:rFonts w:ascii="Times New Roman" w:hAnsi="Times New Roman" w:cs="Times New Roman"/>
          <w:sz w:val="24"/>
        </w:rPr>
        <w:t>Despite the fact that t</w:t>
      </w:r>
      <w:r w:rsidR="002908F1">
        <w:rPr>
          <w:rFonts w:ascii="Times New Roman" w:hAnsi="Times New Roman" w:cs="Times New Roman"/>
          <w:sz w:val="24"/>
        </w:rPr>
        <w:t xml:space="preserve">hese two </w:t>
      </w:r>
      <w:r w:rsidR="00063433">
        <w:rPr>
          <w:rFonts w:ascii="Times New Roman" w:hAnsi="Times New Roman" w:cs="Times New Roman"/>
          <w:sz w:val="24"/>
        </w:rPr>
        <w:t>understandings of Sidney’s presentation of Cleopatra</w:t>
      </w:r>
      <w:r w:rsidR="003C4F2A">
        <w:rPr>
          <w:rFonts w:ascii="Times New Roman" w:hAnsi="Times New Roman" w:cs="Times New Roman"/>
          <w:sz w:val="24"/>
        </w:rPr>
        <w:t xml:space="preserve"> are seemingly incompatible,</w:t>
      </w:r>
      <w:r w:rsidR="00063433">
        <w:rPr>
          <w:rFonts w:ascii="Times New Roman" w:hAnsi="Times New Roman" w:cs="Times New Roman"/>
          <w:sz w:val="24"/>
        </w:rPr>
        <w:t xml:space="preserve"> </w:t>
      </w:r>
      <w:r w:rsidR="003C4F2A">
        <w:rPr>
          <w:rFonts w:ascii="Times New Roman" w:hAnsi="Times New Roman" w:cs="Times New Roman"/>
          <w:sz w:val="24"/>
        </w:rPr>
        <w:t>both have merit to them</w:t>
      </w:r>
      <w:r w:rsidR="00063433">
        <w:rPr>
          <w:rFonts w:ascii="Times New Roman" w:hAnsi="Times New Roman" w:cs="Times New Roman"/>
          <w:sz w:val="24"/>
        </w:rPr>
        <w:t xml:space="preserve">. </w:t>
      </w:r>
    </w:p>
    <w:p w14:paraId="7D5B366E" w14:textId="267E6416" w:rsidR="00E10183" w:rsidRDefault="00B2544E" w:rsidP="002D58FB">
      <w:pPr>
        <w:spacing w:line="240" w:lineRule="auto"/>
        <w:jc w:val="both"/>
        <w:rPr>
          <w:rFonts w:ascii="Times New Roman" w:hAnsi="Times New Roman" w:cs="Times New Roman"/>
          <w:sz w:val="24"/>
        </w:rPr>
      </w:pPr>
      <w:r>
        <w:rPr>
          <w:rFonts w:ascii="Times New Roman" w:hAnsi="Times New Roman" w:cs="Times New Roman"/>
          <w:sz w:val="24"/>
        </w:rPr>
        <w:t>This is demonstrated</w:t>
      </w:r>
      <w:r w:rsidR="00063433">
        <w:rPr>
          <w:rFonts w:ascii="Times New Roman" w:hAnsi="Times New Roman" w:cs="Times New Roman"/>
          <w:sz w:val="24"/>
        </w:rPr>
        <w:t xml:space="preserve"> in the debate within the play over whether Cleopatra should betray Antony to Octavian. Cleopatra is encouraged by Charmi</w:t>
      </w:r>
      <w:r w:rsidR="00200789">
        <w:rPr>
          <w:rFonts w:ascii="Times New Roman" w:hAnsi="Times New Roman" w:cs="Times New Roman"/>
          <w:sz w:val="24"/>
        </w:rPr>
        <w:t>a</w:t>
      </w:r>
      <w:r w:rsidR="00063433">
        <w:rPr>
          <w:rFonts w:ascii="Times New Roman" w:hAnsi="Times New Roman" w:cs="Times New Roman"/>
          <w:sz w:val="24"/>
        </w:rPr>
        <w:t xml:space="preserve">n to </w:t>
      </w:r>
      <w:r w:rsidR="0004624C">
        <w:rPr>
          <w:rFonts w:ascii="Times New Roman" w:hAnsi="Times New Roman" w:cs="Times New Roman"/>
          <w:sz w:val="24"/>
        </w:rPr>
        <w:t xml:space="preserve">leave Antony </w:t>
      </w:r>
      <w:r w:rsidR="00852937">
        <w:rPr>
          <w:rFonts w:ascii="Times New Roman" w:hAnsi="Times New Roman" w:cs="Times New Roman"/>
          <w:sz w:val="24"/>
        </w:rPr>
        <w:t>to</w:t>
      </w:r>
      <w:r w:rsidR="0004624C">
        <w:rPr>
          <w:rFonts w:ascii="Times New Roman" w:hAnsi="Times New Roman" w:cs="Times New Roman"/>
          <w:sz w:val="24"/>
        </w:rPr>
        <w:t xml:space="preserve"> save herself from ‘the wrathful rage’ of Octavian on ‘both your realm and you.’</w:t>
      </w:r>
      <w:r w:rsidR="0004624C">
        <w:rPr>
          <w:rStyle w:val="FootnoteReference"/>
          <w:rFonts w:ascii="Times New Roman" w:hAnsi="Times New Roman" w:cs="Times New Roman"/>
          <w:sz w:val="24"/>
        </w:rPr>
        <w:footnoteReference w:id="69"/>
      </w:r>
      <w:r w:rsidR="0004624C">
        <w:rPr>
          <w:rFonts w:ascii="Times New Roman" w:hAnsi="Times New Roman" w:cs="Times New Roman"/>
          <w:sz w:val="24"/>
        </w:rPr>
        <w:t xml:space="preserve"> </w:t>
      </w:r>
      <w:r w:rsidR="008B2B31">
        <w:rPr>
          <w:rFonts w:ascii="Times New Roman" w:hAnsi="Times New Roman" w:cs="Times New Roman"/>
          <w:sz w:val="24"/>
        </w:rPr>
        <w:t>Crucially, t</w:t>
      </w:r>
      <w:r w:rsidR="0004624C">
        <w:rPr>
          <w:rFonts w:ascii="Times New Roman" w:hAnsi="Times New Roman" w:cs="Times New Roman"/>
          <w:sz w:val="24"/>
        </w:rPr>
        <w:t>he betrayal of Antony</w:t>
      </w:r>
      <w:r w:rsidR="00060DA3">
        <w:rPr>
          <w:rFonts w:ascii="Times New Roman" w:hAnsi="Times New Roman" w:cs="Times New Roman"/>
          <w:sz w:val="24"/>
        </w:rPr>
        <w:t xml:space="preserve"> </w:t>
      </w:r>
      <w:r w:rsidR="0004624C">
        <w:rPr>
          <w:rFonts w:ascii="Times New Roman" w:hAnsi="Times New Roman" w:cs="Times New Roman"/>
          <w:sz w:val="24"/>
        </w:rPr>
        <w:t xml:space="preserve">is not just to be done </w:t>
      </w:r>
      <w:r w:rsidR="00852937">
        <w:rPr>
          <w:rFonts w:ascii="Times New Roman" w:hAnsi="Times New Roman" w:cs="Times New Roman"/>
          <w:sz w:val="24"/>
        </w:rPr>
        <w:t>to</w:t>
      </w:r>
      <w:r w:rsidR="0004624C">
        <w:rPr>
          <w:rFonts w:ascii="Times New Roman" w:hAnsi="Times New Roman" w:cs="Times New Roman"/>
          <w:sz w:val="24"/>
        </w:rPr>
        <w:t xml:space="preserve"> save Cleopatra’s life but to also save her</w:t>
      </w:r>
      <w:r w:rsidR="008B2B31">
        <w:rPr>
          <w:rFonts w:ascii="Times New Roman" w:hAnsi="Times New Roman" w:cs="Times New Roman"/>
          <w:sz w:val="24"/>
        </w:rPr>
        <w:t xml:space="preserve"> ‘realm’</w:t>
      </w:r>
      <w:r w:rsidR="0004624C">
        <w:rPr>
          <w:rFonts w:ascii="Times New Roman" w:hAnsi="Times New Roman" w:cs="Times New Roman"/>
          <w:sz w:val="24"/>
        </w:rPr>
        <w:t xml:space="preserve"> and subjects from the tyranny of Rome. Th</w:t>
      </w:r>
      <w:r w:rsidR="003B3C33">
        <w:rPr>
          <w:rFonts w:ascii="Times New Roman" w:hAnsi="Times New Roman" w:cs="Times New Roman"/>
          <w:sz w:val="24"/>
        </w:rPr>
        <w:t>at this message is at the heart of the debate is shown when</w:t>
      </w:r>
      <w:r w:rsidR="0004624C">
        <w:rPr>
          <w:rFonts w:ascii="Times New Roman" w:hAnsi="Times New Roman" w:cs="Times New Roman"/>
          <w:sz w:val="24"/>
        </w:rPr>
        <w:t xml:space="preserve"> Cleopatra’s secretary</w:t>
      </w:r>
      <w:r w:rsidR="003B3C33">
        <w:rPr>
          <w:rFonts w:ascii="Times New Roman" w:hAnsi="Times New Roman" w:cs="Times New Roman"/>
          <w:sz w:val="24"/>
        </w:rPr>
        <w:t>,</w:t>
      </w:r>
      <w:r w:rsidR="00376D51">
        <w:rPr>
          <w:rFonts w:ascii="Times New Roman" w:hAnsi="Times New Roman" w:cs="Times New Roman"/>
          <w:sz w:val="24"/>
        </w:rPr>
        <w:t xml:space="preserve"> Diomede</w:t>
      </w:r>
      <w:r w:rsidR="0004624C">
        <w:rPr>
          <w:rFonts w:ascii="Times New Roman" w:hAnsi="Times New Roman" w:cs="Times New Roman"/>
          <w:sz w:val="24"/>
        </w:rPr>
        <w:t>,</w:t>
      </w:r>
      <w:r w:rsidR="00811F7C">
        <w:rPr>
          <w:rFonts w:ascii="Times New Roman" w:hAnsi="Times New Roman" w:cs="Times New Roman"/>
          <w:sz w:val="24"/>
        </w:rPr>
        <w:t xml:space="preserve"> later</w:t>
      </w:r>
      <w:r w:rsidR="0004624C">
        <w:rPr>
          <w:rFonts w:ascii="Times New Roman" w:hAnsi="Times New Roman" w:cs="Times New Roman"/>
          <w:sz w:val="24"/>
        </w:rPr>
        <w:t xml:space="preserve"> </w:t>
      </w:r>
      <w:r w:rsidR="00852937">
        <w:rPr>
          <w:rFonts w:ascii="Times New Roman" w:hAnsi="Times New Roman" w:cs="Times New Roman"/>
          <w:sz w:val="24"/>
        </w:rPr>
        <w:t>bewails how</w:t>
      </w:r>
      <w:r w:rsidR="00376D51">
        <w:rPr>
          <w:rFonts w:ascii="Times New Roman" w:hAnsi="Times New Roman" w:cs="Times New Roman"/>
          <w:sz w:val="24"/>
        </w:rPr>
        <w:t xml:space="preserve"> </w:t>
      </w:r>
      <w:r w:rsidR="0050266A">
        <w:rPr>
          <w:rFonts w:ascii="Times New Roman" w:hAnsi="Times New Roman" w:cs="Times New Roman"/>
          <w:sz w:val="24"/>
        </w:rPr>
        <w:t>Cleopatra</w:t>
      </w:r>
    </w:p>
    <w:p w14:paraId="2F08AF40" w14:textId="0A405C12" w:rsidR="00376D51" w:rsidRDefault="0050266A" w:rsidP="002D58FB">
      <w:pPr>
        <w:spacing w:line="240" w:lineRule="auto"/>
        <w:ind w:left="720"/>
        <w:jc w:val="both"/>
        <w:rPr>
          <w:rFonts w:ascii="Times New Roman" w:hAnsi="Times New Roman" w:cs="Times New Roman"/>
          <w:sz w:val="24"/>
        </w:rPr>
      </w:pPr>
      <w:r>
        <w:rPr>
          <w:rFonts w:ascii="Times New Roman" w:hAnsi="Times New Roman" w:cs="Times New Roman"/>
          <w:sz w:val="24"/>
        </w:rPr>
        <w:t>…</w:t>
      </w:r>
      <w:r w:rsidR="00376D51">
        <w:rPr>
          <w:rFonts w:ascii="Times New Roman" w:hAnsi="Times New Roman" w:cs="Times New Roman"/>
          <w:sz w:val="24"/>
        </w:rPr>
        <w:t>should us safety from these ills procure,</w:t>
      </w:r>
    </w:p>
    <w:p w14:paraId="3345AD2E" w14:textId="77777777" w:rsidR="00F61695" w:rsidRDefault="00376D51"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Her crown to her, and to her race </w:t>
      </w:r>
      <w:proofErr w:type="gramStart"/>
      <w:r>
        <w:rPr>
          <w:rFonts w:ascii="Times New Roman" w:hAnsi="Times New Roman" w:cs="Times New Roman"/>
          <w:sz w:val="24"/>
        </w:rPr>
        <w:t>assure</w:t>
      </w:r>
      <w:proofErr w:type="gramEnd"/>
      <w:r>
        <w:rPr>
          <w:rFonts w:ascii="Times New Roman" w:hAnsi="Times New Roman" w:cs="Times New Roman"/>
          <w:sz w:val="24"/>
        </w:rPr>
        <w:t>.</w:t>
      </w:r>
      <w:r>
        <w:rPr>
          <w:rStyle w:val="FootnoteReference"/>
          <w:rFonts w:ascii="Times New Roman" w:hAnsi="Times New Roman" w:cs="Times New Roman"/>
          <w:sz w:val="24"/>
        </w:rPr>
        <w:footnoteReference w:id="70"/>
      </w:r>
    </w:p>
    <w:p w14:paraId="7F7669D4" w14:textId="7DA14E11" w:rsidR="001A46A9" w:rsidRDefault="00331FC8" w:rsidP="002D58FB">
      <w:pPr>
        <w:spacing w:line="240" w:lineRule="auto"/>
        <w:jc w:val="both"/>
        <w:rPr>
          <w:rFonts w:ascii="Times New Roman" w:hAnsi="Times New Roman" w:cs="Times New Roman"/>
          <w:sz w:val="24"/>
        </w:rPr>
      </w:pPr>
      <w:r>
        <w:rPr>
          <w:rFonts w:ascii="Times New Roman" w:hAnsi="Times New Roman" w:cs="Times New Roman"/>
          <w:sz w:val="24"/>
        </w:rPr>
        <w:t xml:space="preserve">This sense of </w:t>
      </w:r>
      <w:r w:rsidR="00852937">
        <w:rPr>
          <w:rFonts w:ascii="Times New Roman" w:hAnsi="Times New Roman" w:cs="Times New Roman"/>
          <w:sz w:val="24"/>
        </w:rPr>
        <w:t>Egypt’s doom</w:t>
      </w:r>
      <w:r>
        <w:rPr>
          <w:rFonts w:ascii="Times New Roman" w:hAnsi="Times New Roman" w:cs="Times New Roman"/>
          <w:sz w:val="24"/>
        </w:rPr>
        <w:t xml:space="preserve"> is emphasised by </w:t>
      </w:r>
      <w:r w:rsidR="00B75042">
        <w:rPr>
          <w:rFonts w:ascii="Times New Roman" w:hAnsi="Times New Roman" w:cs="Times New Roman"/>
          <w:sz w:val="24"/>
        </w:rPr>
        <w:t xml:space="preserve">the Chorus, who repeatedly </w:t>
      </w:r>
      <w:r w:rsidR="00E82A3A">
        <w:rPr>
          <w:rFonts w:ascii="Times New Roman" w:hAnsi="Times New Roman" w:cs="Times New Roman"/>
          <w:sz w:val="24"/>
        </w:rPr>
        <w:t>dec</w:t>
      </w:r>
      <w:r w:rsidR="00852937">
        <w:rPr>
          <w:rFonts w:ascii="Times New Roman" w:hAnsi="Times New Roman" w:cs="Times New Roman"/>
          <w:sz w:val="24"/>
        </w:rPr>
        <w:t>ry</w:t>
      </w:r>
      <w:r w:rsidR="00E82A3A">
        <w:rPr>
          <w:rFonts w:ascii="Times New Roman" w:hAnsi="Times New Roman" w:cs="Times New Roman"/>
          <w:sz w:val="24"/>
        </w:rPr>
        <w:t xml:space="preserve"> the destruction of Egypt and her people.</w:t>
      </w:r>
      <w:r w:rsidR="00E82A3A">
        <w:rPr>
          <w:rStyle w:val="FootnoteReference"/>
          <w:rFonts w:ascii="Times New Roman" w:hAnsi="Times New Roman" w:cs="Times New Roman"/>
          <w:sz w:val="24"/>
        </w:rPr>
        <w:footnoteReference w:id="71"/>
      </w:r>
      <w:r w:rsidR="004601DF">
        <w:rPr>
          <w:rFonts w:ascii="Times New Roman" w:hAnsi="Times New Roman" w:cs="Times New Roman"/>
          <w:sz w:val="24"/>
        </w:rPr>
        <w:t xml:space="preserve"> </w:t>
      </w:r>
      <w:r w:rsidR="00BF55B9">
        <w:rPr>
          <w:rFonts w:ascii="Times New Roman" w:hAnsi="Times New Roman" w:cs="Times New Roman"/>
          <w:sz w:val="24"/>
        </w:rPr>
        <w:t xml:space="preserve">There is a clear sense that if only Cleopatra would choose a different path </w:t>
      </w:r>
      <w:r w:rsidR="00852937">
        <w:rPr>
          <w:rFonts w:ascii="Times New Roman" w:hAnsi="Times New Roman" w:cs="Times New Roman"/>
          <w:sz w:val="24"/>
        </w:rPr>
        <w:t>she could save her kingdom.</w:t>
      </w:r>
      <w:r w:rsidR="001A46A9">
        <w:rPr>
          <w:rFonts w:ascii="Times New Roman" w:hAnsi="Times New Roman" w:cs="Times New Roman"/>
          <w:sz w:val="24"/>
        </w:rPr>
        <w:t xml:space="preserve"> </w:t>
      </w:r>
    </w:p>
    <w:p w14:paraId="43BE10BD" w14:textId="73906453" w:rsidR="002A2499" w:rsidRDefault="002A2499" w:rsidP="002D58FB">
      <w:pPr>
        <w:spacing w:line="240" w:lineRule="auto"/>
        <w:jc w:val="both"/>
        <w:rPr>
          <w:rFonts w:ascii="Times New Roman" w:hAnsi="Times New Roman" w:cs="Times New Roman"/>
          <w:sz w:val="24"/>
        </w:rPr>
      </w:pPr>
      <w:r>
        <w:rPr>
          <w:rFonts w:ascii="Times New Roman" w:hAnsi="Times New Roman" w:cs="Times New Roman"/>
          <w:sz w:val="24"/>
        </w:rPr>
        <w:t>Cleopatra, however, refuses to</w:t>
      </w:r>
      <w:r w:rsidR="00811F7C">
        <w:rPr>
          <w:rFonts w:ascii="Times New Roman" w:hAnsi="Times New Roman" w:cs="Times New Roman"/>
          <w:sz w:val="24"/>
        </w:rPr>
        <w:t xml:space="preserve"> back down</w:t>
      </w:r>
      <w:r w:rsidR="00BF55B9">
        <w:rPr>
          <w:rFonts w:ascii="Times New Roman" w:hAnsi="Times New Roman" w:cs="Times New Roman"/>
          <w:sz w:val="24"/>
        </w:rPr>
        <w:t xml:space="preserve">. The first lines Cleopatra </w:t>
      </w:r>
      <w:r w:rsidR="001A46A9">
        <w:rPr>
          <w:rFonts w:ascii="Times New Roman" w:hAnsi="Times New Roman" w:cs="Times New Roman"/>
          <w:sz w:val="24"/>
        </w:rPr>
        <w:t>speaks</w:t>
      </w:r>
      <w:r w:rsidR="00BF55B9">
        <w:rPr>
          <w:rFonts w:ascii="Times New Roman" w:hAnsi="Times New Roman" w:cs="Times New Roman"/>
          <w:sz w:val="24"/>
        </w:rPr>
        <w:t xml:space="preserve"> illustrate her devotion to Antony, in response to the questions over her constancy raised by </w:t>
      </w:r>
      <w:r w:rsidR="001A46A9">
        <w:rPr>
          <w:rFonts w:ascii="Times New Roman" w:hAnsi="Times New Roman" w:cs="Times New Roman"/>
          <w:sz w:val="24"/>
        </w:rPr>
        <w:t>him</w:t>
      </w:r>
      <w:r w:rsidR="00BF55B9">
        <w:rPr>
          <w:rFonts w:ascii="Times New Roman" w:hAnsi="Times New Roman" w:cs="Times New Roman"/>
          <w:sz w:val="24"/>
        </w:rPr>
        <w:t xml:space="preserve"> in the first act: </w:t>
      </w:r>
    </w:p>
    <w:p w14:paraId="0DFE0F06" w14:textId="6CBBBCBD" w:rsidR="00BF55B9" w:rsidRDefault="00BF55B9" w:rsidP="002D58FB">
      <w:pPr>
        <w:spacing w:line="240" w:lineRule="auto"/>
        <w:ind w:left="720"/>
        <w:jc w:val="both"/>
        <w:rPr>
          <w:rFonts w:ascii="Times New Roman" w:hAnsi="Times New Roman" w:cs="Times New Roman"/>
          <w:sz w:val="24"/>
        </w:rPr>
      </w:pPr>
      <w:r>
        <w:rPr>
          <w:rFonts w:ascii="Times New Roman" w:hAnsi="Times New Roman" w:cs="Times New Roman"/>
          <w:sz w:val="24"/>
        </w:rPr>
        <w:t>That I have thee betrayed, dear Antony,</w:t>
      </w:r>
    </w:p>
    <w:p w14:paraId="60E4D779" w14:textId="71E4AB7C" w:rsidR="00BF55B9" w:rsidRDefault="00BF55B9"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My life, my soul, my </w:t>
      </w:r>
      <w:proofErr w:type="spellStart"/>
      <w:r>
        <w:rPr>
          <w:rFonts w:ascii="Times New Roman" w:hAnsi="Times New Roman" w:cs="Times New Roman"/>
          <w:sz w:val="24"/>
        </w:rPr>
        <w:t>sun</w:t>
      </w:r>
      <w:proofErr w:type="spellEnd"/>
      <w:r>
        <w:rPr>
          <w:rFonts w:ascii="Times New Roman" w:hAnsi="Times New Roman" w:cs="Times New Roman"/>
          <w:sz w:val="24"/>
        </w:rPr>
        <w:t>? I had such a thought?</w:t>
      </w:r>
      <w:r>
        <w:rPr>
          <w:rStyle w:val="FootnoteReference"/>
          <w:rFonts w:ascii="Times New Roman" w:hAnsi="Times New Roman" w:cs="Times New Roman"/>
          <w:sz w:val="24"/>
        </w:rPr>
        <w:footnoteReference w:id="72"/>
      </w:r>
    </w:p>
    <w:p w14:paraId="7073A263" w14:textId="1573C42A" w:rsidR="00BF55B9" w:rsidRDefault="00BF55B9" w:rsidP="002D58FB">
      <w:pPr>
        <w:spacing w:line="240" w:lineRule="auto"/>
        <w:jc w:val="both"/>
        <w:rPr>
          <w:rFonts w:ascii="Times New Roman" w:hAnsi="Times New Roman" w:cs="Times New Roman"/>
          <w:sz w:val="24"/>
        </w:rPr>
      </w:pPr>
      <w:r>
        <w:rPr>
          <w:rFonts w:ascii="Times New Roman" w:hAnsi="Times New Roman" w:cs="Times New Roman"/>
          <w:sz w:val="24"/>
        </w:rPr>
        <w:t>She follows this up by emphasising that</w:t>
      </w:r>
      <w:r w:rsidR="009E03E3">
        <w:rPr>
          <w:rFonts w:ascii="Times New Roman" w:hAnsi="Times New Roman" w:cs="Times New Roman"/>
          <w:sz w:val="24"/>
        </w:rPr>
        <w:t xml:space="preserve"> Antony is more precious to her than anything in the world</w:t>
      </w:r>
      <w:r w:rsidR="00494949">
        <w:rPr>
          <w:rFonts w:ascii="Times New Roman" w:hAnsi="Times New Roman" w:cs="Times New Roman"/>
          <w:sz w:val="24"/>
        </w:rPr>
        <w:t>:</w:t>
      </w:r>
      <w:r>
        <w:rPr>
          <w:rFonts w:ascii="Times New Roman" w:hAnsi="Times New Roman" w:cs="Times New Roman"/>
          <w:sz w:val="24"/>
        </w:rPr>
        <w:t xml:space="preserve"> </w:t>
      </w:r>
      <w:r w:rsidR="00A70FCB">
        <w:rPr>
          <w:rFonts w:ascii="Times New Roman" w:hAnsi="Times New Roman" w:cs="Times New Roman"/>
          <w:sz w:val="24"/>
        </w:rPr>
        <w:t>‘</w:t>
      </w:r>
      <w:proofErr w:type="gramStart"/>
      <w:r>
        <w:rPr>
          <w:rFonts w:ascii="Times New Roman" w:hAnsi="Times New Roman" w:cs="Times New Roman"/>
          <w:sz w:val="24"/>
        </w:rPr>
        <w:t>More dear</w:t>
      </w:r>
      <w:proofErr w:type="gramEnd"/>
      <w:r>
        <w:rPr>
          <w:rFonts w:ascii="Times New Roman" w:hAnsi="Times New Roman" w:cs="Times New Roman"/>
          <w:sz w:val="24"/>
        </w:rPr>
        <w:t xml:space="preserve"> than sceptre, children, freedom, light.</w:t>
      </w:r>
      <w:r w:rsidR="00A70FCB">
        <w:rPr>
          <w:rFonts w:ascii="Times New Roman" w:hAnsi="Times New Roman" w:cs="Times New Roman"/>
          <w:sz w:val="24"/>
        </w:rPr>
        <w:t>’</w:t>
      </w:r>
      <w:r>
        <w:rPr>
          <w:rStyle w:val="FootnoteReference"/>
          <w:rFonts w:ascii="Times New Roman" w:hAnsi="Times New Roman" w:cs="Times New Roman"/>
          <w:sz w:val="24"/>
        </w:rPr>
        <w:footnoteReference w:id="73"/>
      </w:r>
      <w:r w:rsidR="00A70FCB">
        <w:rPr>
          <w:rFonts w:ascii="Times New Roman" w:hAnsi="Times New Roman" w:cs="Times New Roman"/>
          <w:sz w:val="24"/>
        </w:rPr>
        <w:t xml:space="preserve"> </w:t>
      </w:r>
      <w:r>
        <w:rPr>
          <w:rFonts w:ascii="Times New Roman" w:hAnsi="Times New Roman" w:cs="Times New Roman"/>
          <w:sz w:val="24"/>
        </w:rPr>
        <w:t xml:space="preserve">The inclusion of the royal ‘sceptre’ </w:t>
      </w:r>
      <w:r>
        <w:rPr>
          <w:rFonts w:ascii="Times New Roman" w:hAnsi="Times New Roman" w:cs="Times New Roman"/>
          <w:sz w:val="24"/>
        </w:rPr>
        <w:lastRenderedPageBreak/>
        <w:t xml:space="preserve">shows how Cleopatra values Antony’s love above her duties as ruler. Following </w:t>
      </w:r>
      <w:r w:rsidR="00A02448">
        <w:rPr>
          <w:rFonts w:ascii="Times New Roman" w:hAnsi="Times New Roman" w:cs="Times New Roman"/>
          <w:sz w:val="24"/>
        </w:rPr>
        <w:t>Charmian</w:t>
      </w:r>
      <w:r w:rsidR="00852937">
        <w:rPr>
          <w:rFonts w:ascii="Times New Roman" w:hAnsi="Times New Roman" w:cs="Times New Roman"/>
          <w:sz w:val="24"/>
        </w:rPr>
        <w:t>’s</w:t>
      </w:r>
      <w:r w:rsidR="00A02448">
        <w:rPr>
          <w:rFonts w:ascii="Times New Roman" w:hAnsi="Times New Roman" w:cs="Times New Roman"/>
          <w:sz w:val="24"/>
        </w:rPr>
        <w:t xml:space="preserve"> attempt to persuade Cleopatra to save her life and </w:t>
      </w:r>
      <w:r w:rsidR="0005277F">
        <w:rPr>
          <w:rFonts w:ascii="Times New Roman" w:hAnsi="Times New Roman" w:cs="Times New Roman"/>
          <w:sz w:val="24"/>
        </w:rPr>
        <w:t>crown</w:t>
      </w:r>
      <w:r w:rsidR="00A02448">
        <w:rPr>
          <w:rFonts w:ascii="Times New Roman" w:hAnsi="Times New Roman" w:cs="Times New Roman"/>
          <w:sz w:val="24"/>
        </w:rPr>
        <w:t xml:space="preserve">, Cleopatra defends her love for Antony by arguing that if she were to abandon Antony now it would look like she only ever loved him for </w:t>
      </w:r>
      <w:r w:rsidR="00E739D2">
        <w:rPr>
          <w:rFonts w:ascii="Times New Roman" w:hAnsi="Times New Roman" w:cs="Times New Roman"/>
          <w:sz w:val="24"/>
        </w:rPr>
        <w:t>cynical reasons</w:t>
      </w:r>
      <w:r w:rsidR="00A02448">
        <w:rPr>
          <w:rFonts w:ascii="Times New Roman" w:hAnsi="Times New Roman" w:cs="Times New Roman"/>
          <w:sz w:val="24"/>
        </w:rPr>
        <w:t>:</w:t>
      </w:r>
    </w:p>
    <w:p w14:paraId="03B5C1D5" w14:textId="7DEC7816" w:rsidR="00A02448" w:rsidRDefault="00A02448" w:rsidP="002D58FB">
      <w:pPr>
        <w:spacing w:line="240" w:lineRule="auto"/>
        <w:ind w:left="720"/>
        <w:jc w:val="both"/>
        <w:rPr>
          <w:rFonts w:ascii="Times New Roman" w:hAnsi="Times New Roman" w:cs="Times New Roman"/>
          <w:sz w:val="24"/>
        </w:rPr>
      </w:pPr>
      <w:r>
        <w:rPr>
          <w:rFonts w:ascii="Times New Roman" w:hAnsi="Times New Roman" w:cs="Times New Roman"/>
          <w:sz w:val="24"/>
        </w:rPr>
        <w:t>If that, when Antony great and glorious…</w:t>
      </w:r>
    </w:p>
    <w:p w14:paraId="73C7D3EF" w14:textId="40AAC4B8" w:rsidR="00A02448" w:rsidRDefault="00A02448" w:rsidP="002D58FB">
      <w:pPr>
        <w:spacing w:line="240" w:lineRule="auto"/>
        <w:ind w:left="720"/>
        <w:jc w:val="both"/>
        <w:rPr>
          <w:rFonts w:ascii="Times New Roman" w:hAnsi="Times New Roman" w:cs="Times New Roman"/>
          <w:sz w:val="24"/>
        </w:rPr>
      </w:pPr>
      <w:r>
        <w:rPr>
          <w:rFonts w:ascii="Times New Roman" w:hAnsi="Times New Roman" w:cs="Times New Roman"/>
          <w:sz w:val="24"/>
        </w:rPr>
        <w:t>In that fair fortune had I him exchanged</w:t>
      </w:r>
    </w:p>
    <w:p w14:paraId="72498DA6" w14:textId="0133EC1E" w:rsidR="00A02448" w:rsidRDefault="00A02448" w:rsidP="002D58FB">
      <w:pPr>
        <w:spacing w:line="240" w:lineRule="auto"/>
        <w:ind w:left="720"/>
        <w:jc w:val="both"/>
        <w:rPr>
          <w:rFonts w:ascii="Times New Roman" w:hAnsi="Times New Roman" w:cs="Times New Roman"/>
          <w:sz w:val="24"/>
        </w:rPr>
      </w:pPr>
      <w:r>
        <w:rPr>
          <w:rFonts w:ascii="Times New Roman" w:hAnsi="Times New Roman" w:cs="Times New Roman"/>
          <w:sz w:val="24"/>
        </w:rPr>
        <w:t>For Caesar, then men should have counted me</w:t>
      </w:r>
    </w:p>
    <w:p w14:paraId="3FF5F82E" w14:textId="5A04AD1C" w:rsidR="00A02448" w:rsidRDefault="00A02448" w:rsidP="002D58FB">
      <w:pPr>
        <w:spacing w:line="240" w:lineRule="auto"/>
        <w:ind w:left="720"/>
        <w:jc w:val="both"/>
        <w:rPr>
          <w:rFonts w:ascii="Times New Roman" w:hAnsi="Times New Roman" w:cs="Times New Roman"/>
          <w:sz w:val="24"/>
        </w:rPr>
      </w:pPr>
      <w:r>
        <w:rPr>
          <w:rFonts w:ascii="Times New Roman" w:hAnsi="Times New Roman" w:cs="Times New Roman"/>
          <w:sz w:val="24"/>
        </w:rPr>
        <w:t>Faithless, inconstant, light: but now the storm</w:t>
      </w:r>
    </w:p>
    <w:p w14:paraId="0071FF64" w14:textId="689E145C" w:rsidR="00A02448" w:rsidRDefault="00A02448"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And </w:t>
      </w:r>
      <w:proofErr w:type="spellStart"/>
      <w:r>
        <w:rPr>
          <w:rFonts w:ascii="Times New Roman" w:hAnsi="Times New Roman" w:cs="Times New Roman"/>
          <w:sz w:val="24"/>
        </w:rPr>
        <w:t>blust’ring</w:t>
      </w:r>
      <w:proofErr w:type="spellEnd"/>
      <w:r>
        <w:rPr>
          <w:rFonts w:ascii="Times New Roman" w:hAnsi="Times New Roman" w:cs="Times New Roman"/>
          <w:sz w:val="24"/>
        </w:rPr>
        <w:t xml:space="preserve"> tempest driving on his face,</w:t>
      </w:r>
    </w:p>
    <w:p w14:paraId="137FF19B" w14:textId="13FD7CF6" w:rsidR="00A02448" w:rsidRDefault="00A02448" w:rsidP="002D58FB">
      <w:pPr>
        <w:spacing w:line="240" w:lineRule="auto"/>
        <w:ind w:left="720"/>
        <w:jc w:val="both"/>
        <w:rPr>
          <w:rFonts w:ascii="Times New Roman" w:hAnsi="Times New Roman" w:cs="Times New Roman"/>
          <w:sz w:val="24"/>
        </w:rPr>
      </w:pPr>
      <w:r>
        <w:rPr>
          <w:rFonts w:ascii="Times New Roman" w:hAnsi="Times New Roman" w:cs="Times New Roman"/>
          <w:sz w:val="24"/>
        </w:rPr>
        <w:t>Ready to drown, alas, what would they say?</w:t>
      </w:r>
      <w:r>
        <w:rPr>
          <w:rStyle w:val="FootnoteReference"/>
          <w:rFonts w:ascii="Times New Roman" w:hAnsi="Times New Roman" w:cs="Times New Roman"/>
          <w:sz w:val="24"/>
        </w:rPr>
        <w:footnoteReference w:id="74"/>
      </w:r>
    </w:p>
    <w:p w14:paraId="7EAF9DBD" w14:textId="6CC5DB86" w:rsidR="00A02448" w:rsidRDefault="00A02448" w:rsidP="002D58FB">
      <w:pPr>
        <w:spacing w:line="240" w:lineRule="auto"/>
        <w:jc w:val="both"/>
        <w:rPr>
          <w:rFonts w:ascii="Times New Roman" w:hAnsi="Times New Roman" w:cs="Times New Roman"/>
          <w:sz w:val="24"/>
        </w:rPr>
      </w:pPr>
      <w:r>
        <w:rPr>
          <w:rFonts w:ascii="Times New Roman" w:hAnsi="Times New Roman" w:cs="Times New Roman"/>
          <w:sz w:val="24"/>
        </w:rPr>
        <w:t xml:space="preserve">If she were to </w:t>
      </w:r>
      <w:r w:rsidR="00AF49C9">
        <w:rPr>
          <w:rFonts w:ascii="Times New Roman" w:hAnsi="Times New Roman" w:cs="Times New Roman"/>
          <w:sz w:val="24"/>
        </w:rPr>
        <w:t>betray him</w:t>
      </w:r>
      <w:r>
        <w:rPr>
          <w:rFonts w:ascii="Times New Roman" w:hAnsi="Times New Roman" w:cs="Times New Roman"/>
          <w:sz w:val="24"/>
        </w:rPr>
        <w:t>, following Charmi</w:t>
      </w:r>
      <w:r w:rsidR="00200789">
        <w:rPr>
          <w:rFonts w:ascii="Times New Roman" w:hAnsi="Times New Roman" w:cs="Times New Roman"/>
          <w:sz w:val="24"/>
        </w:rPr>
        <w:t>an</w:t>
      </w:r>
      <w:r>
        <w:rPr>
          <w:rFonts w:ascii="Times New Roman" w:hAnsi="Times New Roman" w:cs="Times New Roman"/>
          <w:sz w:val="24"/>
        </w:rPr>
        <w:t xml:space="preserve">’s </w:t>
      </w:r>
      <w:r w:rsidR="00852937">
        <w:rPr>
          <w:rFonts w:ascii="Times New Roman" w:hAnsi="Times New Roman" w:cs="Times New Roman"/>
          <w:sz w:val="24"/>
        </w:rPr>
        <w:t>advice</w:t>
      </w:r>
      <w:r>
        <w:rPr>
          <w:rFonts w:ascii="Times New Roman" w:hAnsi="Times New Roman" w:cs="Times New Roman"/>
          <w:sz w:val="24"/>
        </w:rPr>
        <w:t xml:space="preserve"> and thus saving her kingdom, Cleopatra knows that she would be remembered as</w:t>
      </w:r>
    </w:p>
    <w:p w14:paraId="6DEA666C" w14:textId="4A61A658" w:rsidR="00A02448" w:rsidRDefault="00A02448" w:rsidP="002D58FB">
      <w:pPr>
        <w:spacing w:line="240" w:lineRule="auto"/>
        <w:ind w:left="720"/>
        <w:jc w:val="both"/>
        <w:rPr>
          <w:rFonts w:ascii="Times New Roman" w:hAnsi="Times New Roman" w:cs="Times New Roman"/>
          <w:sz w:val="24"/>
        </w:rPr>
      </w:pPr>
      <w:r>
        <w:rPr>
          <w:rFonts w:ascii="Times New Roman" w:hAnsi="Times New Roman" w:cs="Times New Roman"/>
          <w:sz w:val="24"/>
        </w:rPr>
        <w:t>Not light, inconstant, faithless</w:t>
      </w:r>
      <w:r w:rsidR="003B3C33">
        <w:rPr>
          <w:rFonts w:ascii="Times New Roman" w:hAnsi="Times New Roman" w:cs="Times New Roman"/>
          <w:sz w:val="24"/>
        </w:rPr>
        <w:t>…</w:t>
      </w:r>
    </w:p>
    <w:p w14:paraId="3A4B6780" w14:textId="4E077CC6" w:rsidR="00A02448" w:rsidRDefault="00A02448"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But vile, forsworn, of </w:t>
      </w:r>
      <w:proofErr w:type="spellStart"/>
      <w:r>
        <w:rPr>
          <w:rFonts w:ascii="Times New Roman" w:hAnsi="Times New Roman" w:cs="Times New Roman"/>
          <w:sz w:val="24"/>
        </w:rPr>
        <w:t>treach’rous</w:t>
      </w:r>
      <w:proofErr w:type="spellEnd"/>
      <w:r>
        <w:rPr>
          <w:rFonts w:ascii="Times New Roman" w:hAnsi="Times New Roman" w:cs="Times New Roman"/>
          <w:sz w:val="24"/>
        </w:rPr>
        <w:t xml:space="preserve"> cruelty.</w:t>
      </w:r>
      <w:r>
        <w:rPr>
          <w:rStyle w:val="FootnoteReference"/>
          <w:rFonts w:ascii="Times New Roman" w:hAnsi="Times New Roman" w:cs="Times New Roman"/>
          <w:sz w:val="24"/>
        </w:rPr>
        <w:footnoteReference w:id="75"/>
      </w:r>
    </w:p>
    <w:p w14:paraId="261E3BCB" w14:textId="200FE573" w:rsidR="00A526DC" w:rsidRDefault="00A02448" w:rsidP="002D58FB">
      <w:pPr>
        <w:spacing w:line="240" w:lineRule="auto"/>
        <w:jc w:val="both"/>
        <w:rPr>
          <w:rFonts w:ascii="Times New Roman" w:hAnsi="Times New Roman" w:cs="Times New Roman"/>
          <w:sz w:val="24"/>
        </w:rPr>
      </w:pPr>
      <w:r>
        <w:rPr>
          <w:rFonts w:ascii="Times New Roman" w:hAnsi="Times New Roman" w:cs="Times New Roman"/>
          <w:sz w:val="24"/>
        </w:rPr>
        <w:t>This realisation leads Cleopatra to refuse rapprochement with Octavian, thus damning Egypt to Roman tyranny.</w:t>
      </w:r>
      <w:r w:rsidR="001E4DE3">
        <w:rPr>
          <w:rFonts w:ascii="Times New Roman" w:hAnsi="Times New Roman" w:cs="Times New Roman"/>
          <w:sz w:val="24"/>
        </w:rPr>
        <w:t xml:space="preserve"> </w:t>
      </w:r>
      <w:r w:rsidR="00A526DC">
        <w:rPr>
          <w:rFonts w:ascii="Times New Roman" w:hAnsi="Times New Roman" w:cs="Times New Roman"/>
          <w:sz w:val="24"/>
        </w:rPr>
        <w:t xml:space="preserve">This is in stark contrast to Plutarch’s description of how Cleopatra </w:t>
      </w:r>
      <w:r w:rsidR="00D837B1">
        <w:rPr>
          <w:rFonts w:ascii="Times New Roman" w:hAnsi="Times New Roman" w:cs="Times New Roman"/>
          <w:sz w:val="24"/>
        </w:rPr>
        <w:t xml:space="preserve">‘was longer in </w:t>
      </w:r>
      <w:proofErr w:type="spellStart"/>
      <w:r w:rsidR="00D837B1">
        <w:rPr>
          <w:rFonts w:ascii="Times New Roman" w:hAnsi="Times New Roman" w:cs="Times New Roman"/>
          <w:sz w:val="24"/>
        </w:rPr>
        <w:t>talke</w:t>
      </w:r>
      <w:proofErr w:type="spellEnd"/>
      <w:r w:rsidR="00A526DC">
        <w:rPr>
          <w:rFonts w:ascii="Times New Roman" w:hAnsi="Times New Roman" w:cs="Times New Roman"/>
          <w:sz w:val="24"/>
        </w:rPr>
        <w:t xml:space="preserve">’ with Octavian’s negotiator </w:t>
      </w:r>
      <w:r w:rsidR="00D837B1">
        <w:rPr>
          <w:rFonts w:ascii="Times New Roman" w:hAnsi="Times New Roman" w:cs="Times New Roman"/>
          <w:sz w:val="24"/>
        </w:rPr>
        <w:t>‘th</w:t>
      </w:r>
      <w:r w:rsidR="00DB0F6C">
        <w:rPr>
          <w:rFonts w:ascii="Times New Roman" w:hAnsi="Times New Roman" w:cs="Times New Roman"/>
          <w:sz w:val="24"/>
        </w:rPr>
        <w:t>e</w:t>
      </w:r>
      <w:r w:rsidR="00D837B1">
        <w:rPr>
          <w:rFonts w:ascii="Times New Roman" w:hAnsi="Times New Roman" w:cs="Times New Roman"/>
          <w:sz w:val="24"/>
        </w:rPr>
        <w:t xml:space="preserve">n any man else’ </w:t>
      </w:r>
      <w:r w:rsidR="00DB0F6C">
        <w:rPr>
          <w:rFonts w:ascii="Times New Roman" w:hAnsi="Times New Roman" w:cs="Times New Roman"/>
          <w:sz w:val="24"/>
        </w:rPr>
        <w:t>and</w:t>
      </w:r>
      <w:r w:rsidR="00A526DC">
        <w:rPr>
          <w:rFonts w:ascii="Times New Roman" w:hAnsi="Times New Roman" w:cs="Times New Roman"/>
          <w:sz w:val="24"/>
        </w:rPr>
        <w:t xml:space="preserve"> ‘</w:t>
      </w:r>
      <w:r w:rsidR="00DB0F6C">
        <w:rPr>
          <w:rFonts w:ascii="Times New Roman" w:hAnsi="Times New Roman" w:cs="Times New Roman"/>
          <w:sz w:val="24"/>
        </w:rPr>
        <w:t xml:space="preserve">did him great </w:t>
      </w:r>
      <w:proofErr w:type="spellStart"/>
      <w:r w:rsidR="00DB0F6C">
        <w:rPr>
          <w:rFonts w:ascii="Times New Roman" w:hAnsi="Times New Roman" w:cs="Times New Roman"/>
          <w:sz w:val="24"/>
        </w:rPr>
        <w:t>honor</w:t>
      </w:r>
      <w:proofErr w:type="spellEnd"/>
      <w:r w:rsidR="00A526DC">
        <w:rPr>
          <w:rFonts w:ascii="Times New Roman" w:hAnsi="Times New Roman" w:cs="Times New Roman"/>
          <w:sz w:val="24"/>
        </w:rPr>
        <w:t>.’</w:t>
      </w:r>
      <w:r w:rsidR="00A526DC">
        <w:rPr>
          <w:rStyle w:val="FootnoteReference"/>
          <w:rFonts w:ascii="Times New Roman" w:hAnsi="Times New Roman" w:cs="Times New Roman"/>
          <w:sz w:val="24"/>
        </w:rPr>
        <w:footnoteReference w:id="76"/>
      </w:r>
      <w:r w:rsidR="00B94D7F" w:rsidRPr="00B94D7F">
        <w:rPr>
          <w:rFonts w:ascii="Times New Roman" w:hAnsi="Times New Roman" w:cs="Times New Roman"/>
          <w:sz w:val="24"/>
        </w:rPr>
        <w:t xml:space="preserve"> </w:t>
      </w:r>
      <w:r w:rsidR="00A526DC">
        <w:rPr>
          <w:rFonts w:ascii="Times New Roman" w:hAnsi="Times New Roman" w:cs="Times New Roman"/>
          <w:sz w:val="24"/>
        </w:rPr>
        <w:t xml:space="preserve">Sidney’s translation thus emphasises Cleopatra’s loyalty to Antony beyond the </w:t>
      </w:r>
      <w:r w:rsidR="00852937">
        <w:rPr>
          <w:rFonts w:ascii="Times New Roman" w:hAnsi="Times New Roman" w:cs="Times New Roman"/>
          <w:sz w:val="24"/>
        </w:rPr>
        <w:t>historical</w:t>
      </w:r>
      <w:r w:rsidR="00A526DC">
        <w:rPr>
          <w:rFonts w:ascii="Times New Roman" w:hAnsi="Times New Roman" w:cs="Times New Roman"/>
          <w:sz w:val="24"/>
        </w:rPr>
        <w:t xml:space="preserve"> </w:t>
      </w:r>
      <w:r w:rsidR="00852937">
        <w:rPr>
          <w:rFonts w:ascii="Times New Roman" w:hAnsi="Times New Roman" w:cs="Times New Roman"/>
          <w:sz w:val="24"/>
        </w:rPr>
        <w:t>record</w:t>
      </w:r>
      <w:r w:rsidR="00A526DC">
        <w:rPr>
          <w:rFonts w:ascii="Times New Roman" w:hAnsi="Times New Roman" w:cs="Times New Roman"/>
          <w:sz w:val="24"/>
        </w:rPr>
        <w:t xml:space="preserve">. </w:t>
      </w:r>
    </w:p>
    <w:p w14:paraId="1D48CC4B" w14:textId="5471A832" w:rsidR="00200789" w:rsidRDefault="00984A1E" w:rsidP="002D58FB">
      <w:pPr>
        <w:spacing w:line="240" w:lineRule="auto"/>
        <w:jc w:val="both"/>
        <w:rPr>
          <w:rFonts w:ascii="Times New Roman" w:hAnsi="Times New Roman" w:cs="Times New Roman"/>
          <w:sz w:val="24"/>
        </w:rPr>
      </w:pPr>
      <w:r>
        <w:rPr>
          <w:rFonts w:ascii="Times New Roman" w:hAnsi="Times New Roman" w:cs="Times New Roman"/>
          <w:sz w:val="24"/>
        </w:rPr>
        <w:t>What this debate over whether Cleopatra should betray Antony or not s</w:t>
      </w:r>
      <w:r w:rsidR="006D3503">
        <w:rPr>
          <w:rFonts w:ascii="Times New Roman" w:hAnsi="Times New Roman" w:cs="Times New Roman"/>
          <w:sz w:val="24"/>
        </w:rPr>
        <w:t>uggests</w:t>
      </w:r>
      <w:r>
        <w:rPr>
          <w:rFonts w:ascii="Times New Roman" w:hAnsi="Times New Roman" w:cs="Times New Roman"/>
          <w:sz w:val="24"/>
        </w:rPr>
        <w:t xml:space="preserve"> is that both interpretations of Cleopatra’s role in </w:t>
      </w:r>
      <w:r w:rsidR="006D3503">
        <w:rPr>
          <w:rFonts w:ascii="Times New Roman" w:hAnsi="Times New Roman" w:cs="Times New Roman"/>
          <w:i/>
          <w:sz w:val="24"/>
        </w:rPr>
        <w:t>Antonius</w:t>
      </w:r>
      <w:r>
        <w:rPr>
          <w:rFonts w:ascii="Times New Roman" w:hAnsi="Times New Roman" w:cs="Times New Roman"/>
          <w:sz w:val="24"/>
        </w:rPr>
        <w:t xml:space="preserve"> that critics have taken in the past are correct. On the one hand, Cleopatra is criticised for </w:t>
      </w:r>
      <w:r w:rsidR="003227CD">
        <w:rPr>
          <w:rFonts w:ascii="Times New Roman" w:hAnsi="Times New Roman" w:cs="Times New Roman"/>
          <w:sz w:val="24"/>
        </w:rPr>
        <w:t>th</w:t>
      </w:r>
      <w:r>
        <w:rPr>
          <w:rFonts w:ascii="Times New Roman" w:hAnsi="Times New Roman" w:cs="Times New Roman"/>
          <w:sz w:val="24"/>
        </w:rPr>
        <w:t>e</w:t>
      </w:r>
      <w:r w:rsidR="003227CD">
        <w:rPr>
          <w:rFonts w:ascii="Times New Roman" w:hAnsi="Times New Roman" w:cs="Times New Roman"/>
          <w:sz w:val="24"/>
        </w:rPr>
        <w:t xml:space="preserve"> destruction</w:t>
      </w:r>
      <w:r>
        <w:rPr>
          <w:rFonts w:ascii="Times New Roman" w:hAnsi="Times New Roman" w:cs="Times New Roman"/>
          <w:sz w:val="24"/>
        </w:rPr>
        <w:t xml:space="preserve"> of Egypt, </w:t>
      </w:r>
      <w:r w:rsidR="00200789">
        <w:rPr>
          <w:rFonts w:ascii="Times New Roman" w:hAnsi="Times New Roman" w:cs="Times New Roman"/>
          <w:sz w:val="24"/>
        </w:rPr>
        <w:t>caused by</w:t>
      </w:r>
      <w:r>
        <w:rPr>
          <w:rFonts w:ascii="Times New Roman" w:hAnsi="Times New Roman" w:cs="Times New Roman"/>
          <w:sz w:val="24"/>
        </w:rPr>
        <w:t xml:space="preserve"> Cleopatra’s failure to </w:t>
      </w:r>
      <w:r w:rsidR="00200789">
        <w:rPr>
          <w:rFonts w:ascii="Times New Roman" w:hAnsi="Times New Roman" w:cs="Times New Roman"/>
          <w:sz w:val="24"/>
        </w:rPr>
        <w:t>act in line with her queenly responsibilities</w:t>
      </w:r>
      <w:r>
        <w:rPr>
          <w:rFonts w:ascii="Times New Roman" w:hAnsi="Times New Roman" w:cs="Times New Roman"/>
          <w:sz w:val="24"/>
        </w:rPr>
        <w:t xml:space="preserve">. This is her </w:t>
      </w:r>
      <w:r w:rsidRPr="00110CB8">
        <w:rPr>
          <w:rFonts w:ascii="Times New Roman" w:hAnsi="Times New Roman" w:cs="Times New Roman"/>
          <w:sz w:val="24"/>
        </w:rPr>
        <w:t>p</w:t>
      </w:r>
      <w:r w:rsidR="00CC4F81">
        <w:rPr>
          <w:rFonts w:ascii="Times New Roman" w:hAnsi="Times New Roman" w:cs="Times New Roman"/>
          <w:sz w:val="24"/>
        </w:rPr>
        <w:t>olitical</w:t>
      </w:r>
      <w:r w:rsidRPr="00110CB8">
        <w:rPr>
          <w:rFonts w:ascii="Times New Roman" w:hAnsi="Times New Roman" w:cs="Times New Roman"/>
          <w:sz w:val="24"/>
        </w:rPr>
        <w:t xml:space="preserve"> fai</w:t>
      </w:r>
      <w:r w:rsidR="00CC4F81">
        <w:rPr>
          <w:rFonts w:ascii="Times New Roman" w:hAnsi="Times New Roman" w:cs="Times New Roman"/>
          <w:sz w:val="24"/>
        </w:rPr>
        <w:t>lure</w:t>
      </w:r>
      <w:r>
        <w:rPr>
          <w:rFonts w:ascii="Times New Roman" w:hAnsi="Times New Roman" w:cs="Times New Roman"/>
          <w:sz w:val="24"/>
        </w:rPr>
        <w:t xml:space="preserve">. However, she is also praised for her constant devotion to Antony, who she refuses to betray. This is her </w:t>
      </w:r>
      <w:r w:rsidRPr="00110CB8">
        <w:rPr>
          <w:rFonts w:ascii="Times New Roman" w:hAnsi="Times New Roman" w:cs="Times New Roman"/>
          <w:sz w:val="24"/>
        </w:rPr>
        <w:t>private, womanly virtue</w:t>
      </w:r>
      <w:r>
        <w:rPr>
          <w:rFonts w:ascii="Times New Roman" w:hAnsi="Times New Roman" w:cs="Times New Roman"/>
          <w:sz w:val="24"/>
        </w:rPr>
        <w:t xml:space="preserve">. There are obvious similarities between </w:t>
      </w:r>
      <w:r w:rsidR="00110CB8">
        <w:rPr>
          <w:rFonts w:ascii="Times New Roman" w:hAnsi="Times New Roman" w:cs="Times New Roman"/>
          <w:sz w:val="24"/>
        </w:rPr>
        <w:t xml:space="preserve">Sidney’s Cleopatra </w:t>
      </w:r>
      <w:r>
        <w:rPr>
          <w:rFonts w:ascii="Times New Roman" w:hAnsi="Times New Roman" w:cs="Times New Roman"/>
          <w:sz w:val="24"/>
        </w:rPr>
        <w:t xml:space="preserve">and </w:t>
      </w:r>
      <w:r w:rsidR="00200789">
        <w:rPr>
          <w:rFonts w:ascii="Times New Roman" w:hAnsi="Times New Roman" w:cs="Times New Roman"/>
          <w:sz w:val="24"/>
        </w:rPr>
        <w:t xml:space="preserve">Kyd’s </w:t>
      </w:r>
      <w:r>
        <w:rPr>
          <w:rFonts w:ascii="Times New Roman" w:hAnsi="Times New Roman" w:cs="Times New Roman"/>
          <w:sz w:val="24"/>
        </w:rPr>
        <w:t xml:space="preserve">Cornelia: both are women who express constant </w:t>
      </w:r>
      <w:r w:rsidR="00065267">
        <w:rPr>
          <w:rFonts w:ascii="Times New Roman" w:hAnsi="Times New Roman" w:cs="Times New Roman"/>
          <w:sz w:val="24"/>
        </w:rPr>
        <w:t>devotion to</w:t>
      </w:r>
      <w:r>
        <w:rPr>
          <w:rFonts w:ascii="Times New Roman" w:hAnsi="Times New Roman" w:cs="Times New Roman"/>
          <w:sz w:val="24"/>
        </w:rPr>
        <w:t xml:space="preserve"> their lovers</w:t>
      </w:r>
      <w:r w:rsidR="00DF3BCE">
        <w:rPr>
          <w:rFonts w:ascii="Times New Roman" w:hAnsi="Times New Roman" w:cs="Times New Roman"/>
          <w:sz w:val="24"/>
        </w:rPr>
        <w:t>.</w:t>
      </w:r>
      <w:r w:rsidR="00667B7A">
        <w:rPr>
          <w:rFonts w:ascii="Times New Roman" w:hAnsi="Times New Roman" w:cs="Times New Roman"/>
          <w:sz w:val="24"/>
        </w:rPr>
        <w:t xml:space="preserve"> At the end of </w:t>
      </w:r>
      <w:r w:rsidR="00667B7A">
        <w:rPr>
          <w:rFonts w:ascii="Times New Roman" w:hAnsi="Times New Roman" w:cs="Times New Roman"/>
          <w:i/>
          <w:sz w:val="24"/>
        </w:rPr>
        <w:t>Antonius</w:t>
      </w:r>
      <w:r w:rsidR="00667B7A">
        <w:rPr>
          <w:rFonts w:ascii="Times New Roman" w:hAnsi="Times New Roman" w:cs="Times New Roman"/>
          <w:sz w:val="24"/>
        </w:rPr>
        <w:t>, Cleopatra even calls Antony her ‘husband’ and herself his ‘wife’, suggesting that their love is, at least to her mind, as rightful as Cornelia and Pompey’s.</w:t>
      </w:r>
      <w:r w:rsidR="00667B7A">
        <w:rPr>
          <w:rStyle w:val="FootnoteReference"/>
          <w:rFonts w:ascii="Times New Roman" w:hAnsi="Times New Roman" w:cs="Times New Roman"/>
          <w:sz w:val="24"/>
        </w:rPr>
        <w:footnoteReference w:id="77"/>
      </w:r>
      <w:r w:rsidR="00DF3BCE">
        <w:rPr>
          <w:rFonts w:ascii="Times New Roman" w:hAnsi="Times New Roman" w:cs="Times New Roman"/>
          <w:sz w:val="24"/>
        </w:rPr>
        <w:t xml:space="preserve"> However, whilst Cornelia’s grief is only gently chastised for being typical of womanish over-emotionality, Cleopatra’s constancy, </w:t>
      </w:r>
      <w:r w:rsidR="00123601">
        <w:rPr>
          <w:rFonts w:ascii="Times New Roman" w:hAnsi="Times New Roman" w:cs="Times New Roman"/>
          <w:sz w:val="24"/>
        </w:rPr>
        <w:t>due to</w:t>
      </w:r>
      <w:r w:rsidR="00DF3BCE">
        <w:rPr>
          <w:rFonts w:ascii="Times New Roman" w:hAnsi="Times New Roman" w:cs="Times New Roman"/>
          <w:sz w:val="24"/>
        </w:rPr>
        <w:t xml:space="preserve"> her role as a public figure, leads her into choosing a path which </w:t>
      </w:r>
      <w:r w:rsidR="00200789">
        <w:rPr>
          <w:rFonts w:ascii="Times New Roman" w:hAnsi="Times New Roman" w:cs="Times New Roman"/>
          <w:sz w:val="24"/>
        </w:rPr>
        <w:t>causes</w:t>
      </w:r>
      <w:r w:rsidR="00DF3BCE">
        <w:rPr>
          <w:rFonts w:ascii="Times New Roman" w:hAnsi="Times New Roman" w:cs="Times New Roman"/>
          <w:sz w:val="24"/>
        </w:rPr>
        <w:t xml:space="preserve"> the destruction of her country. </w:t>
      </w:r>
      <w:r w:rsidR="00AB4AFA">
        <w:rPr>
          <w:rFonts w:ascii="Times New Roman" w:hAnsi="Times New Roman" w:cs="Times New Roman"/>
          <w:sz w:val="24"/>
        </w:rPr>
        <w:t>This suggests a fundamental incompatibility between female virtue and nature, and the duties of a ruler</w:t>
      </w:r>
      <w:r w:rsidR="00926B08">
        <w:rPr>
          <w:rFonts w:ascii="Times New Roman" w:hAnsi="Times New Roman" w:cs="Times New Roman"/>
          <w:sz w:val="24"/>
        </w:rPr>
        <w:t xml:space="preserve">, in that virtuous female behaviour is characterised by leading a moral private and family life which may conflict with promoting the common good of a nation as its ruler. </w:t>
      </w:r>
    </w:p>
    <w:p w14:paraId="1FAD8B65" w14:textId="5714013B" w:rsidR="00177072" w:rsidRDefault="00926B08" w:rsidP="002D58FB">
      <w:pPr>
        <w:spacing w:line="240" w:lineRule="auto"/>
        <w:jc w:val="both"/>
        <w:rPr>
          <w:rFonts w:ascii="Times New Roman" w:hAnsi="Times New Roman" w:cs="Times New Roman"/>
          <w:sz w:val="24"/>
        </w:rPr>
      </w:pPr>
      <w:r>
        <w:rPr>
          <w:rFonts w:ascii="Times New Roman" w:hAnsi="Times New Roman" w:cs="Times New Roman"/>
          <w:sz w:val="24"/>
        </w:rPr>
        <w:t xml:space="preserve">This incompatibility of female virtue with power is further emphasised in </w:t>
      </w:r>
      <w:r>
        <w:rPr>
          <w:rFonts w:ascii="Times New Roman" w:hAnsi="Times New Roman" w:cs="Times New Roman"/>
          <w:i/>
          <w:sz w:val="24"/>
        </w:rPr>
        <w:t xml:space="preserve">Antonius </w:t>
      </w:r>
      <w:r>
        <w:rPr>
          <w:rFonts w:ascii="Times New Roman" w:hAnsi="Times New Roman" w:cs="Times New Roman"/>
          <w:sz w:val="24"/>
        </w:rPr>
        <w:t>by what Danielle Clarke calls the ‘conflation of female political power and sexuality.’</w:t>
      </w:r>
      <w:r>
        <w:rPr>
          <w:rStyle w:val="FootnoteReference"/>
          <w:rFonts w:ascii="Times New Roman" w:hAnsi="Times New Roman" w:cs="Times New Roman"/>
          <w:sz w:val="24"/>
        </w:rPr>
        <w:footnoteReference w:id="78"/>
      </w:r>
      <w:r w:rsidR="00430055">
        <w:rPr>
          <w:rFonts w:ascii="Times New Roman" w:hAnsi="Times New Roman" w:cs="Times New Roman"/>
          <w:sz w:val="24"/>
        </w:rPr>
        <w:t xml:space="preserve"> Cleopatra</w:t>
      </w:r>
      <w:r w:rsidR="001956F6">
        <w:rPr>
          <w:rFonts w:ascii="Times New Roman" w:hAnsi="Times New Roman" w:cs="Times New Roman"/>
          <w:sz w:val="24"/>
        </w:rPr>
        <w:t xml:space="preserve"> is </w:t>
      </w:r>
      <w:r w:rsidR="001956F6">
        <w:rPr>
          <w:rFonts w:ascii="Times New Roman" w:hAnsi="Times New Roman" w:cs="Times New Roman"/>
          <w:sz w:val="24"/>
        </w:rPr>
        <w:lastRenderedPageBreak/>
        <w:t>not just</w:t>
      </w:r>
      <w:r w:rsidR="00512CCA">
        <w:rPr>
          <w:rFonts w:ascii="Times New Roman" w:hAnsi="Times New Roman" w:cs="Times New Roman"/>
          <w:sz w:val="24"/>
        </w:rPr>
        <w:t xml:space="preserve"> encouraged to</w:t>
      </w:r>
      <w:r w:rsidR="00430055">
        <w:rPr>
          <w:rFonts w:ascii="Times New Roman" w:hAnsi="Times New Roman" w:cs="Times New Roman"/>
          <w:sz w:val="24"/>
        </w:rPr>
        <w:t xml:space="preserve"> </w:t>
      </w:r>
      <w:r w:rsidR="00110CB8">
        <w:rPr>
          <w:rFonts w:ascii="Times New Roman" w:hAnsi="Times New Roman" w:cs="Times New Roman"/>
          <w:sz w:val="24"/>
        </w:rPr>
        <w:t>desert</w:t>
      </w:r>
      <w:r w:rsidR="00430055">
        <w:rPr>
          <w:rFonts w:ascii="Times New Roman" w:hAnsi="Times New Roman" w:cs="Times New Roman"/>
          <w:sz w:val="24"/>
        </w:rPr>
        <w:t xml:space="preserve"> </w:t>
      </w:r>
      <w:r w:rsidR="00512CCA">
        <w:rPr>
          <w:rFonts w:ascii="Times New Roman" w:hAnsi="Times New Roman" w:cs="Times New Roman"/>
          <w:sz w:val="24"/>
        </w:rPr>
        <w:t>Antony as a means of saving her kingdom</w:t>
      </w:r>
      <w:r w:rsidR="00430055">
        <w:rPr>
          <w:rFonts w:ascii="Times New Roman" w:hAnsi="Times New Roman" w:cs="Times New Roman"/>
          <w:sz w:val="24"/>
        </w:rPr>
        <w:t xml:space="preserve">, </w:t>
      </w:r>
      <w:r w:rsidR="00512CCA">
        <w:rPr>
          <w:rFonts w:ascii="Times New Roman" w:hAnsi="Times New Roman" w:cs="Times New Roman"/>
          <w:sz w:val="24"/>
        </w:rPr>
        <w:t>but</w:t>
      </w:r>
      <w:r w:rsidR="00430055">
        <w:rPr>
          <w:rFonts w:ascii="Times New Roman" w:hAnsi="Times New Roman" w:cs="Times New Roman"/>
          <w:sz w:val="24"/>
        </w:rPr>
        <w:t xml:space="preserve"> is also </w:t>
      </w:r>
      <w:r w:rsidR="00AC17C6">
        <w:rPr>
          <w:rFonts w:ascii="Times New Roman" w:hAnsi="Times New Roman" w:cs="Times New Roman"/>
          <w:sz w:val="24"/>
        </w:rPr>
        <w:t>asked</w:t>
      </w:r>
      <w:r w:rsidR="00430055">
        <w:rPr>
          <w:rFonts w:ascii="Times New Roman" w:hAnsi="Times New Roman" w:cs="Times New Roman"/>
          <w:sz w:val="24"/>
        </w:rPr>
        <w:t xml:space="preserve"> </w:t>
      </w:r>
      <w:r w:rsidR="00177072">
        <w:rPr>
          <w:rFonts w:ascii="Times New Roman" w:hAnsi="Times New Roman" w:cs="Times New Roman"/>
          <w:sz w:val="24"/>
        </w:rPr>
        <w:t xml:space="preserve">by Diomede </w:t>
      </w:r>
      <w:r w:rsidR="00430055">
        <w:rPr>
          <w:rFonts w:ascii="Times New Roman" w:hAnsi="Times New Roman" w:cs="Times New Roman"/>
          <w:sz w:val="24"/>
        </w:rPr>
        <w:t>to use her ‘</w:t>
      </w:r>
      <w:r w:rsidR="005929DF">
        <w:rPr>
          <w:rFonts w:ascii="Times New Roman" w:hAnsi="Times New Roman" w:cs="Times New Roman"/>
          <w:sz w:val="24"/>
        </w:rPr>
        <w:t>loving</w:t>
      </w:r>
      <w:r w:rsidR="00430055">
        <w:rPr>
          <w:rFonts w:ascii="Times New Roman" w:hAnsi="Times New Roman" w:cs="Times New Roman"/>
          <w:sz w:val="24"/>
        </w:rPr>
        <w:t xml:space="preserve"> charms’</w:t>
      </w:r>
      <w:r w:rsidR="00177072">
        <w:rPr>
          <w:rFonts w:ascii="Times New Roman" w:hAnsi="Times New Roman" w:cs="Times New Roman"/>
          <w:sz w:val="24"/>
        </w:rPr>
        <w:t xml:space="preserve"> to ‘make a conquest of the conqueror.’</w:t>
      </w:r>
      <w:r w:rsidR="00177072">
        <w:rPr>
          <w:rStyle w:val="FootnoteReference"/>
          <w:rFonts w:ascii="Times New Roman" w:hAnsi="Times New Roman" w:cs="Times New Roman"/>
          <w:sz w:val="24"/>
        </w:rPr>
        <w:footnoteReference w:id="79"/>
      </w:r>
      <w:r w:rsidR="00177072">
        <w:rPr>
          <w:rFonts w:ascii="Times New Roman" w:hAnsi="Times New Roman" w:cs="Times New Roman"/>
          <w:sz w:val="24"/>
        </w:rPr>
        <w:t xml:space="preserve"> This idea of female power being contained within her sexual desirability is further seen in Antony’s criticism of </w:t>
      </w:r>
      <w:r w:rsidR="00F661A6">
        <w:rPr>
          <w:rFonts w:ascii="Times New Roman" w:hAnsi="Times New Roman" w:cs="Times New Roman"/>
          <w:sz w:val="24"/>
        </w:rPr>
        <w:t xml:space="preserve">womanly </w:t>
      </w:r>
      <w:r w:rsidR="00134FA8">
        <w:rPr>
          <w:rFonts w:ascii="Times New Roman" w:hAnsi="Times New Roman" w:cs="Times New Roman"/>
          <w:sz w:val="24"/>
        </w:rPr>
        <w:t>charms</w:t>
      </w:r>
      <w:r w:rsidR="00F661A6">
        <w:rPr>
          <w:rFonts w:ascii="Times New Roman" w:hAnsi="Times New Roman" w:cs="Times New Roman"/>
          <w:sz w:val="24"/>
        </w:rPr>
        <w:t>:</w:t>
      </w:r>
    </w:p>
    <w:p w14:paraId="1D7B9C49" w14:textId="749A80EE" w:rsidR="00177072" w:rsidRDefault="00177072" w:rsidP="002D58FB">
      <w:pPr>
        <w:spacing w:line="240" w:lineRule="auto"/>
        <w:ind w:left="720"/>
        <w:jc w:val="both"/>
        <w:rPr>
          <w:rFonts w:ascii="Times New Roman" w:hAnsi="Times New Roman" w:cs="Times New Roman"/>
          <w:sz w:val="24"/>
        </w:rPr>
      </w:pPr>
      <w:r>
        <w:rPr>
          <w:rFonts w:ascii="Times New Roman" w:hAnsi="Times New Roman" w:cs="Times New Roman"/>
          <w:sz w:val="24"/>
        </w:rPr>
        <w:t>Enchanting pleasure, Venus’ sweet delights,</w:t>
      </w:r>
    </w:p>
    <w:p w14:paraId="74ED473E" w14:textId="208EB081" w:rsidR="00177072" w:rsidRDefault="00177072" w:rsidP="002D58FB">
      <w:pPr>
        <w:spacing w:line="240" w:lineRule="auto"/>
        <w:ind w:left="720"/>
        <w:jc w:val="both"/>
        <w:rPr>
          <w:rFonts w:ascii="Times New Roman" w:hAnsi="Times New Roman" w:cs="Times New Roman"/>
          <w:sz w:val="24"/>
        </w:rPr>
      </w:pPr>
      <w:r>
        <w:rPr>
          <w:rFonts w:ascii="Times New Roman" w:hAnsi="Times New Roman" w:cs="Times New Roman"/>
          <w:sz w:val="24"/>
        </w:rPr>
        <w:t>Weaken our bodies, overcloud our sprites,</w:t>
      </w:r>
    </w:p>
    <w:p w14:paraId="4133C053" w14:textId="77777777" w:rsidR="00177072" w:rsidRDefault="00177072"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Trouble our reason from our hearts </w:t>
      </w:r>
      <w:proofErr w:type="spellStart"/>
      <w:r>
        <w:rPr>
          <w:rFonts w:ascii="Times New Roman" w:hAnsi="Times New Roman" w:cs="Times New Roman"/>
          <w:sz w:val="24"/>
        </w:rPr>
        <w:t>outchase</w:t>
      </w:r>
      <w:proofErr w:type="spellEnd"/>
      <w:r>
        <w:rPr>
          <w:rFonts w:ascii="Times New Roman" w:hAnsi="Times New Roman" w:cs="Times New Roman"/>
          <w:sz w:val="24"/>
        </w:rPr>
        <w:t>,</w:t>
      </w:r>
    </w:p>
    <w:p w14:paraId="57F3E278" w14:textId="7AE30538" w:rsidR="00177072" w:rsidRDefault="00177072" w:rsidP="002D58FB">
      <w:pPr>
        <w:spacing w:line="240" w:lineRule="auto"/>
        <w:ind w:left="720"/>
        <w:jc w:val="both"/>
        <w:rPr>
          <w:rFonts w:ascii="Times New Roman" w:hAnsi="Times New Roman" w:cs="Times New Roman"/>
          <w:sz w:val="24"/>
        </w:rPr>
      </w:pPr>
      <w:r>
        <w:rPr>
          <w:rFonts w:ascii="Times New Roman" w:hAnsi="Times New Roman" w:cs="Times New Roman"/>
          <w:sz w:val="24"/>
        </w:rPr>
        <w:t>All holy virtues lodging in their place.</w:t>
      </w:r>
      <w:r>
        <w:rPr>
          <w:rStyle w:val="FootnoteReference"/>
          <w:rFonts w:ascii="Times New Roman" w:hAnsi="Times New Roman" w:cs="Times New Roman"/>
          <w:sz w:val="24"/>
        </w:rPr>
        <w:footnoteReference w:id="80"/>
      </w:r>
    </w:p>
    <w:p w14:paraId="0508AF87" w14:textId="1D3FAA73" w:rsidR="00E50113" w:rsidRDefault="00177072" w:rsidP="002D58FB">
      <w:pPr>
        <w:spacing w:line="240" w:lineRule="auto"/>
        <w:jc w:val="both"/>
        <w:rPr>
          <w:rFonts w:ascii="Times New Roman" w:hAnsi="Times New Roman" w:cs="Times New Roman"/>
          <w:sz w:val="24"/>
        </w:rPr>
      </w:pPr>
      <w:r>
        <w:rPr>
          <w:rFonts w:ascii="Times New Roman" w:hAnsi="Times New Roman" w:cs="Times New Roman"/>
          <w:sz w:val="24"/>
        </w:rPr>
        <w:t>Similar to comparison</w:t>
      </w:r>
      <w:r w:rsidR="00922A14">
        <w:rPr>
          <w:rFonts w:ascii="Times New Roman" w:hAnsi="Times New Roman" w:cs="Times New Roman"/>
          <w:sz w:val="24"/>
        </w:rPr>
        <w:t>s</w:t>
      </w:r>
      <w:r>
        <w:rPr>
          <w:rFonts w:ascii="Times New Roman" w:hAnsi="Times New Roman" w:cs="Times New Roman"/>
          <w:sz w:val="24"/>
        </w:rPr>
        <w:t xml:space="preserve"> of Cleopatra with Circe</w:t>
      </w:r>
      <w:r w:rsidR="00923763">
        <w:rPr>
          <w:rFonts w:ascii="Times New Roman" w:hAnsi="Times New Roman" w:cs="Times New Roman"/>
          <w:sz w:val="24"/>
        </w:rPr>
        <w:t xml:space="preserve"> in </w:t>
      </w:r>
      <w:r w:rsidR="00923763">
        <w:rPr>
          <w:rFonts w:ascii="Times New Roman" w:hAnsi="Times New Roman" w:cs="Times New Roman"/>
          <w:i/>
          <w:sz w:val="24"/>
        </w:rPr>
        <w:t xml:space="preserve">The Virtuous Octavia </w:t>
      </w:r>
      <w:r w:rsidR="00923763">
        <w:rPr>
          <w:rFonts w:ascii="Times New Roman" w:hAnsi="Times New Roman" w:cs="Times New Roman"/>
          <w:sz w:val="24"/>
        </w:rPr>
        <w:t>and</w:t>
      </w:r>
      <w:r>
        <w:rPr>
          <w:rFonts w:ascii="Times New Roman" w:hAnsi="Times New Roman" w:cs="Times New Roman"/>
          <w:sz w:val="24"/>
        </w:rPr>
        <w:t xml:space="preserve"> </w:t>
      </w:r>
      <w:r>
        <w:rPr>
          <w:rFonts w:ascii="Times New Roman" w:hAnsi="Times New Roman" w:cs="Times New Roman"/>
          <w:i/>
          <w:sz w:val="24"/>
        </w:rPr>
        <w:t>Caesar’s Revenge</w:t>
      </w:r>
      <w:r>
        <w:rPr>
          <w:rFonts w:ascii="Times New Roman" w:hAnsi="Times New Roman" w:cs="Times New Roman"/>
          <w:sz w:val="24"/>
        </w:rPr>
        <w:t xml:space="preserve">, female power is conceived in </w:t>
      </w:r>
      <w:r>
        <w:rPr>
          <w:rFonts w:ascii="Times New Roman" w:hAnsi="Times New Roman" w:cs="Times New Roman"/>
          <w:i/>
          <w:sz w:val="24"/>
        </w:rPr>
        <w:t xml:space="preserve">Antonius </w:t>
      </w:r>
      <w:r>
        <w:rPr>
          <w:rFonts w:ascii="Times New Roman" w:hAnsi="Times New Roman" w:cs="Times New Roman"/>
          <w:sz w:val="24"/>
        </w:rPr>
        <w:t>as being inherently sexual and bewitching in its operation.</w:t>
      </w:r>
      <w:r w:rsidR="00923763">
        <w:rPr>
          <w:rStyle w:val="FootnoteReference"/>
          <w:rFonts w:ascii="Times New Roman" w:hAnsi="Times New Roman" w:cs="Times New Roman"/>
          <w:sz w:val="24"/>
        </w:rPr>
        <w:footnoteReference w:id="81"/>
      </w:r>
      <w:r>
        <w:rPr>
          <w:rFonts w:ascii="Times New Roman" w:hAnsi="Times New Roman" w:cs="Times New Roman"/>
          <w:sz w:val="24"/>
        </w:rPr>
        <w:t xml:space="preserve"> Cleopatra therefore not only proves her virtue in her constancy to Antony, but also in her reluctance to use her power</w:t>
      </w:r>
      <w:r w:rsidR="00175957">
        <w:rPr>
          <w:rFonts w:ascii="Times New Roman" w:hAnsi="Times New Roman" w:cs="Times New Roman"/>
          <w:sz w:val="24"/>
        </w:rPr>
        <w:t>,</w:t>
      </w:r>
      <w:r>
        <w:rPr>
          <w:rFonts w:ascii="Times New Roman" w:hAnsi="Times New Roman" w:cs="Times New Roman"/>
          <w:sz w:val="24"/>
        </w:rPr>
        <w:t xml:space="preserve"> which is envisioned as</w:t>
      </w:r>
      <w:r w:rsidR="00175957">
        <w:rPr>
          <w:rFonts w:ascii="Times New Roman" w:hAnsi="Times New Roman" w:cs="Times New Roman"/>
          <w:sz w:val="24"/>
        </w:rPr>
        <w:t xml:space="preserve"> being</w:t>
      </w:r>
      <w:r>
        <w:rPr>
          <w:rFonts w:ascii="Times New Roman" w:hAnsi="Times New Roman" w:cs="Times New Roman"/>
          <w:sz w:val="24"/>
        </w:rPr>
        <w:t xml:space="preserve"> inherently sexual</w:t>
      </w:r>
      <w:r w:rsidR="00175957">
        <w:rPr>
          <w:rFonts w:ascii="Times New Roman" w:hAnsi="Times New Roman" w:cs="Times New Roman"/>
          <w:sz w:val="24"/>
        </w:rPr>
        <w:t xml:space="preserve"> </w:t>
      </w:r>
      <w:r>
        <w:rPr>
          <w:rFonts w:ascii="Times New Roman" w:hAnsi="Times New Roman" w:cs="Times New Roman"/>
          <w:sz w:val="24"/>
        </w:rPr>
        <w:t xml:space="preserve">and therefore corrupting, </w:t>
      </w:r>
      <w:r w:rsidR="00175957">
        <w:rPr>
          <w:rFonts w:ascii="Times New Roman" w:hAnsi="Times New Roman" w:cs="Times New Roman"/>
          <w:sz w:val="24"/>
        </w:rPr>
        <w:t xml:space="preserve">to save her kingdom or herself. </w:t>
      </w:r>
      <w:r w:rsidR="00065267">
        <w:rPr>
          <w:rFonts w:ascii="Times New Roman" w:hAnsi="Times New Roman" w:cs="Times New Roman"/>
          <w:sz w:val="24"/>
        </w:rPr>
        <w:t>However, again we see that, although Cleopatra achieves private moral approbation for refusing to us</w:t>
      </w:r>
      <w:r w:rsidR="00CC4F81">
        <w:rPr>
          <w:rFonts w:ascii="Times New Roman" w:hAnsi="Times New Roman" w:cs="Times New Roman"/>
          <w:sz w:val="24"/>
        </w:rPr>
        <w:t>e</w:t>
      </w:r>
      <w:r w:rsidR="00065267">
        <w:rPr>
          <w:rFonts w:ascii="Times New Roman" w:hAnsi="Times New Roman" w:cs="Times New Roman"/>
          <w:sz w:val="24"/>
        </w:rPr>
        <w:t xml:space="preserve"> her sexualised power, she </w:t>
      </w:r>
      <w:r w:rsidR="00CC4F81">
        <w:rPr>
          <w:rFonts w:ascii="Times New Roman" w:hAnsi="Times New Roman" w:cs="Times New Roman"/>
          <w:sz w:val="24"/>
        </w:rPr>
        <w:t xml:space="preserve">also </w:t>
      </w:r>
      <w:r w:rsidR="00065267">
        <w:rPr>
          <w:rFonts w:ascii="Times New Roman" w:hAnsi="Times New Roman" w:cs="Times New Roman"/>
          <w:sz w:val="24"/>
        </w:rPr>
        <w:t xml:space="preserve">fails to save her country. This makes the paradox of female rule starkly </w:t>
      </w:r>
      <w:r w:rsidR="00CC4F81">
        <w:rPr>
          <w:rFonts w:ascii="Times New Roman" w:hAnsi="Times New Roman" w:cs="Times New Roman"/>
          <w:sz w:val="24"/>
        </w:rPr>
        <w:t>apparent</w:t>
      </w:r>
      <w:r w:rsidR="00065267">
        <w:rPr>
          <w:rFonts w:ascii="Times New Roman" w:hAnsi="Times New Roman" w:cs="Times New Roman"/>
          <w:sz w:val="24"/>
        </w:rPr>
        <w:t xml:space="preserve">: </w:t>
      </w:r>
      <w:r w:rsidR="00145848">
        <w:rPr>
          <w:rFonts w:ascii="Times New Roman" w:hAnsi="Times New Roman" w:cs="Times New Roman"/>
          <w:sz w:val="24"/>
        </w:rPr>
        <w:t>if women exercise power, even for a good cause, they will unavoidably occur suspicions of immorality</w:t>
      </w:r>
      <w:r w:rsidR="002E3989">
        <w:rPr>
          <w:rFonts w:ascii="Times New Roman" w:hAnsi="Times New Roman" w:cs="Times New Roman"/>
          <w:sz w:val="24"/>
        </w:rPr>
        <w:t xml:space="preserve"> through the sexualisation of </w:t>
      </w:r>
      <w:r w:rsidR="0073617E">
        <w:rPr>
          <w:rFonts w:ascii="Times New Roman" w:hAnsi="Times New Roman" w:cs="Times New Roman"/>
          <w:sz w:val="24"/>
        </w:rPr>
        <w:t xml:space="preserve">female </w:t>
      </w:r>
      <w:r w:rsidR="002E3989">
        <w:rPr>
          <w:rFonts w:ascii="Times New Roman" w:hAnsi="Times New Roman" w:cs="Times New Roman"/>
          <w:sz w:val="24"/>
        </w:rPr>
        <w:t>power</w:t>
      </w:r>
      <w:r w:rsidR="00145848">
        <w:rPr>
          <w:rFonts w:ascii="Times New Roman" w:hAnsi="Times New Roman" w:cs="Times New Roman"/>
          <w:sz w:val="24"/>
        </w:rPr>
        <w:t>, based upon the opposition of traditional conceptions of female virtue to involvement in the public sphere.</w:t>
      </w:r>
      <w:r w:rsidR="00200789">
        <w:rPr>
          <w:rFonts w:ascii="Times New Roman" w:hAnsi="Times New Roman" w:cs="Times New Roman"/>
          <w:sz w:val="24"/>
        </w:rPr>
        <w:t xml:space="preserve"> </w:t>
      </w:r>
    </w:p>
    <w:p w14:paraId="724C1CE4" w14:textId="5F59692E" w:rsidR="00177072" w:rsidRPr="00B6375A" w:rsidRDefault="00363151" w:rsidP="002D58FB">
      <w:pPr>
        <w:spacing w:line="240" w:lineRule="auto"/>
        <w:jc w:val="both"/>
        <w:rPr>
          <w:rFonts w:ascii="Times New Roman" w:hAnsi="Times New Roman" w:cs="Times New Roman"/>
          <w:sz w:val="24"/>
        </w:rPr>
      </w:pPr>
      <w:r>
        <w:rPr>
          <w:rFonts w:ascii="Times New Roman" w:hAnsi="Times New Roman" w:cs="Times New Roman"/>
          <w:sz w:val="24"/>
        </w:rPr>
        <w:t>This message had</w:t>
      </w:r>
      <w:r w:rsidR="00200789">
        <w:rPr>
          <w:rFonts w:ascii="Times New Roman" w:hAnsi="Times New Roman" w:cs="Times New Roman"/>
          <w:sz w:val="24"/>
        </w:rPr>
        <w:t xml:space="preserve"> political implications. Mary Sidney’s </w:t>
      </w:r>
      <w:r w:rsidR="009E3A8D">
        <w:rPr>
          <w:rFonts w:ascii="Times New Roman" w:hAnsi="Times New Roman" w:cs="Times New Roman"/>
          <w:sz w:val="24"/>
        </w:rPr>
        <w:t>P</w:t>
      </w:r>
      <w:r w:rsidR="00200789">
        <w:rPr>
          <w:rFonts w:ascii="Times New Roman" w:hAnsi="Times New Roman" w:cs="Times New Roman"/>
          <w:sz w:val="24"/>
        </w:rPr>
        <w:t>rotestant</w:t>
      </w:r>
      <w:r w:rsidR="00FF394F">
        <w:rPr>
          <w:rFonts w:ascii="Times New Roman" w:hAnsi="Times New Roman" w:cs="Times New Roman"/>
          <w:sz w:val="24"/>
        </w:rPr>
        <w:t xml:space="preserve"> faith</w:t>
      </w:r>
      <w:r w:rsidR="009754CE">
        <w:rPr>
          <w:rFonts w:ascii="Times New Roman" w:hAnsi="Times New Roman" w:cs="Times New Roman"/>
          <w:sz w:val="24"/>
        </w:rPr>
        <w:t xml:space="preserve">, as well as the legacy of her brother Philip Sidney and her family background, meant that she </w:t>
      </w:r>
      <w:r w:rsidR="00110CB8">
        <w:rPr>
          <w:rFonts w:ascii="Times New Roman" w:hAnsi="Times New Roman" w:cs="Times New Roman"/>
          <w:sz w:val="24"/>
        </w:rPr>
        <w:t>associated with political circles</w:t>
      </w:r>
      <w:r w:rsidR="009754CE">
        <w:rPr>
          <w:rFonts w:ascii="Times New Roman" w:hAnsi="Times New Roman" w:cs="Times New Roman"/>
          <w:sz w:val="24"/>
        </w:rPr>
        <w:t xml:space="preserve"> which </w:t>
      </w:r>
      <w:r w:rsidR="00FF394F">
        <w:rPr>
          <w:rFonts w:ascii="Times New Roman" w:hAnsi="Times New Roman" w:cs="Times New Roman"/>
          <w:sz w:val="24"/>
        </w:rPr>
        <w:t>were devoted to</w:t>
      </w:r>
      <w:r w:rsidR="009754CE">
        <w:rPr>
          <w:rFonts w:ascii="Times New Roman" w:hAnsi="Times New Roman" w:cs="Times New Roman"/>
          <w:sz w:val="24"/>
        </w:rPr>
        <w:t xml:space="preserve"> defending </w:t>
      </w:r>
      <w:r w:rsidR="009E3A8D">
        <w:rPr>
          <w:rFonts w:ascii="Times New Roman" w:hAnsi="Times New Roman" w:cs="Times New Roman"/>
          <w:sz w:val="24"/>
        </w:rPr>
        <w:t>P</w:t>
      </w:r>
      <w:r w:rsidR="00542DE5">
        <w:rPr>
          <w:rFonts w:ascii="Times New Roman" w:hAnsi="Times New Roman" w:cs="Times New Roman"/>
          <w:sz w:val="24"/>
        </w:rPr>
        <w:t>rotestantism</w:t>
      </w:r>
      <w:r w:rsidR="009754CE">
        <w:rPr>
          <w:rFonts w:ascii="Times New Roman" w:hAnsi="Times New Roman" w:cs="Times New Roman"/>
          <w:sz w:val="24"/>
        </w:rPr>
        <w:t xml:space="preserve"> and pushing for</w:t>
      </w:r>
      <w:r w:rsidR="00AA19C0">
        <w:rPr>
          <w:rFonts w:ascii="Times New Roman" w:hAnsi="Times New Roman" w:cs="Times New Roman"/>
          <w:sz w:val="24"/>
        </w:rPr>
        <w:t xml:space="preserve"> </w:t>
      </w:r>
      <w:r w:rsidR="00525910">
        <w:rPr>
          <w:rFonts w:ascii="Times New Roman" w:hAnsi="Times New Roman" w:cs="Times New Roman"/>
          <w:sz w:val="24"/>
        </w:rPr>
        <w:t>greater commitment in the</w:t>
      </w:r>
      <w:r w:rsidR="009754CE">
        <w:rPr>
          <w:rFonts w:ascii="Times New Roman" w:hAnsi="Times New Roman" w:cs="Times New Roman"/>
          <w:sz w:val="24"/>
        </w:rPr>
        <w:t xml:space="preserve"> </w:t>
      </w:r>
      <w:r w:rsidR="00031BFE">
        <w:rPr>
          <w:rFonts w:ascii="Times New Roman" w:hAnsi="Times New Roman" w:cs="Times New Roman"/>
          <w:sz w:val="24"/>
        </w:rPr>
        <w:t>wars on the continent</w:t>
      </w:r>
      <w:r w:rsidR="009754CE">
        <w:rPr>
          <w:rFonts w:ascii="Times New Roman" w:hAnsi="Times New Roman" w:cs="Times New Roman"/>
          <w:sz w:val="24"/>
        </w:rPr>
        <w:t>, against the wishes of Elizabeth herself.</w:t>
      </w:r>
      <w:r w:rsidR="009754CE">
        <w:rPr>
          <w:rStyle w:val="FootnoteReference"/>
          <w:rFonts w:ascii="Times New Roman" w:hAnsi="Times New Roman" w:cs="Times New Roman"/>
          <w:sz w:val="24"/>
        </w:rPr>
        <w:footnoteReference w:id="82"/>
      </w:r>
      <w:r w:rsidR="009754CE">
        <w:rPr>
          <w:rFonts w:ascii="Times New Roman" w:hAnsi="Times New Roman" w:cs="Times New Roman"/>
          <w:sz w:val="24"/>
        </w:rPr>
        <w:t xml:space="preserve"> Sidney</w:t>
      </w:r>
      <w:r w:rsidR="00F00EF7">
        <w:rPr>
          <w:rFonts w:ascii="Times New Roman" w:hAnsi="Times New Roman" w:cs="Times New Roman"/>
          <w:sz w:val="24"/>
        </w:rPr>
        <w:t>’s work</w:t>
      </w:r>
      <w:r w:rsidR="009754CE">
        <w:rPr>
          <w:rFonts w:ascii="Times New Roman" w:hAnsi="Times New Roman" w:cs="Times New Roman"/>
          <w:sz w:val="24"/>
        </w:rPr>
        <w:t>, therefore,</w:t>
      </w:r>
      <w:r w:rsidR="00AB686D">
        <w:rPr>
          <w:rFonts w:ascii="Times New Roman" w:hAnsi="Times New Roman" w:cs="Times New Roman"/>
          <w:sz w:val="24"/>
        </w:rPr>
        <w:t xml:space="preserve"> reflects </w:t>
      </w:r>
      <w:r w:rsidR="009754CE">
        <w:rPr>
          <w:rFonts w:ascii="Times New Roman" w:hAnsi="Times New Roman" w:cs="Times New Roman"/>
          <w:sz w:val="24"/>
        </w:rPr>
        <w:t>a</w:t>
      </w:r>
      <w:r w:rsidR="00AB686D">
        <w:rPr>
          <w:rFonts w:ascii="Times New Roman" w:hAnsi="Times New Roman" w:cs="Times New Roman"/>
          <w:sz w:val="24"/>
        </w:rPr>
        <w:t>n</w:t>
      </w:r>
      <w:r w:rsidR="009754CE">
        <w:rPr>
          <w:rFonts w:ascii="Times New Roman" w:hAnsi="Times New Roman" w:cs="Times New Roman"/>
          <w:sz w:val="24"/>
        </w:rPr>
        <w:t xml:space="preserve"> ambiguous political </w:t>
      </w:r>
      <w:r w:rsidR="00AB686D">
        <w:rPr>
          <w:rFonts w:ascii="Times New Roman" w:hAnsi="Times New Roman" w:cs="Times New Roman"/>
          <w:sz w:val="24"/>
        </w:rPr>
        <w:t>judgement of</w:t>
      </w:r>
      <w:r w:rsidR="009754CE">
        <w:rPr>
          <w:rFonts w:ascii="Times New Roman" w:hAnsi="Times New Roman" w:cs="Times New Roman"/>
          <w:sz w:val="24"/>
        </w:rPr>
        <w:t xml:space="preserve"> the queen. On the one hand, she frame</w:t>
      </w:r>
      <w:r w:rsidR="003004F4">
        <w:rPr>
          <w:rFonts w:ascii="Times New Roman" w:hAnsi="Times New Roman" w:cs="Times New Roman"/>
          <w:sz w:val="24"/>
        </w:rPr>
        <w:t>s</w:t>
      </w:r>
      <w:r w:rsidR="009754CE">
        <w:rPr>
          <w:rFonts w:ascii="Times New Roman" w:hAnsi="Times New Roman" w:cs="Times New Roman"/>
          <w:sz w:val="24"/>
        </w:rPr>
        <w:t xml:space="preserve"> Elizabeth as a providential </w:t>
      </w:r>
      <w:r w:rsidR="009E3A8D">
        <w:rPr>
          <w:rFonts w:ascii="Times New Roman" w:hAnsi="Times New Roman" w:cs="Times New Roman"/>
          <w:sz w:val="24"/>
        </w:rPr>
        <w:t>P</w:t>
      </w:r>
      <w:r w:rsidR="009754CE">
        <w:rPr>
          <w:rFonts w:ascii="Times New Roman" w:hAnsi="Times New Roman" w:cs="Times New Roman"/>
          <w:sz w:val="24"/>
        </w:rPr>
        <w:t>rotestant monarc</w:t>
      </w:r>
      <w:r w:rsidR="003004F4">
        <w:rPr>
          <w:rFonts w:ascii="Times New Roman" w:hAnsi="Times New Roman" w:cs="Times New Roman"/>
          <w:sz w:val="24"/>
        </w:rPr>
        <w:t>h</w:t>
      </w:r>
      <w:r w:rsidR="009754CE">
        <w:rPr>
          <w:rFonts w:ascii="Times New Roman" w:hAnsi="Times New Roman" w:cs="Times New Roman"/>
          <w:sz w:val="24"/>
        </w:rPr>
        <w:t xml:space="preserve">, </w:t>
      </w:r>
      <w:r w:rsidR="00710B5A">
        <w:rPr>
          <w:rFonts w:ascii="Times New Roman" w:hAnsi="Times New Roman" w:cs="Times New Roman"/>
          <w:sz w:val="24"/>
        </w:rPr>
        <w:t>seen</w:t>
      </w:r>
      <w:r w:rsidR="009754CE">
        <w:rPr>
          <w:rFonts w:ascii="Times New Roman" w:hAnsi="Times New Roman" w:cs="Times New Roman"/>
          <w:sz w:val="24"/>
        </w:rPr>
        <w:t xml:space="preserve"> in her two poems dedicated to Elizabeth, </w:t>
      </w:r>
      <w:r w:rsidR="007E2C15">
        <w:rPr>
          <w:rFonts w:ascii="Times New Roman" w:hAnsi="Times New Roman" w:cs="Times New Roman"/>
          <w:sz w:val="24"/>
        </w:rPr>
        <w:t>which praise her as ‘</w:t>
      </w:r>
      <w:proofErr w:type="spellStart"/>
      <w:r w:rsidR="007E2C15">
        <w:rPr>
          <w:rFonts w:ascii="Times New Roman" w:hAnsi="Times New Roman" w:cs="Times New Roman"/>
          <w:sz w:val="24"/>
        </w:rPr>
        <w:t>Astrea</w:t>
      </w:r>
      <w:proofErr w:type="spellEnd"/>
      <w:r w:rsidR="007E2C15">
        <w:rPr>
          <w:rFonts w:ascii="Times New Roman" w:hAnsi="Times New Roman" w:cs="Times New Roman"/>
          <w:sz w:val="24"/>
        </w:rPr>
        <w:t xml:space="preserve">’ and for fighting ‘the foes of </w:t>
      </w:r>
      <w:proofErr w:type="spellStart"/>
      <w:r w:rsidR="007E2C15">
        <w:rPr>
          <w:rFonts w:ascii="Times New Roman" w:hAnsi="Times New Roman" w:cs="Times New Roman"/>
          <w:sz w:val="24"/>
        </w:rPr>
        <w:t>heav’n</w:t>
      </w:r>
      <w:proofErr w:type="spellEnd"/>
      <w:r w:rsidR="007E2C15">
        <w:rPr>
          <w:rFonts w:ascii="Times New Roman" w:hAnsi="Times New Roman" w:cs="Times New Roman"/>
          <w:sz w:val="24"/>
        </w:rPr>
        <w:t>.’</w:t>
      </w:r>
      <w:r w:rsidR="007E2C15">
        <w:rPr>
          <w:rStyle w:val="FootnoteReference"/>
          <w:rFonts w:ascii="Times New Roman" w:hAnsi="Times New Roman" w:cs="Times New Roman"/>
          <w:sz w:val="24"/>
        </w:rPr>
        <w:footnoteReference w:id="83"/>
      </w:r>
      <w:r w:rsidR="007E2C15">
        <w:rPr>
          <w:rFonts w:ascii="Times New Roman" w:hAnsi="Times New Roman" w:cs="Times New Roman"/>
          <w:sz w:val="24"/>
        </w:rPr>
        <w:t xml:space="preserve"> However,</w:t>
      </w:r>
      <w:r w:rsidR="00475CDB">
        <w:rPr>
          <w:rFonts w:ascii="Times New Roman" w:hAnsi="Times New Roman" w:cs="Times New Roman"/>
          <w:sz w:val="24"/>
        </w:rPr>
        <w:t xml:space="preserve"> Sidney’s circle was</w:t>
      </w:r>
      <w:r w:rsidR="00023395">
        <w:rPr>
          <w:rFonts w:ascii="Times New Roman" w:hAnsi="Times New Roman" w:cs="Times New Roman"/>
          <w:sz w:val="24"/>
        </w:rPr>
        <w:t xml:space="preserve"> increasingly</w:t>
      </w:r>
      <w:r w:rsidR="00475CDB">
        <w:rPr>
          <w:rFonts w:ascii="Times New Roman" w:hAnsi="Times New Roman" w:cs="Times New Roman"/>
          <w:sz w:val="24"/>
        </w:rPr>
        <w:t xml:space="preserve"> frustrated by</w:t>
      </w:r>
      <w:r w:rsidR="007E2C15">
        <w:rPr>
          <w:rFonts w:ascii="Times New Roman" w:hAnsi="Times New Roman" w:cs="Times New Roman"/>
          <w:sz w:val="24"/>
        </w:rPr>
        <w:t xml:space="preserve"> Elizabeth’s reluctance to </w:t>
      </w:r>
      <w:r w:rsidR="00475CDB">
        <w:rPr>
          <w:rFonts w:ascii="Times New Roman" w:hAnsi="Times New Roman" w:cs="Times New Roman"/>
          <w:sz w:val="24"/>
        </w:rPr>
        <w:t xml:space="preserve">strongly commit </w:t>
      </w:r>
      <w:r w:rsidR="007E2C15">
        <w:rPr>
          <w:rFonts w:ascii="Times New Roman" w:hAnsi="Times New Roman" w:cs="Times New Roman"/>
          <w:sz w:val="24"/>
        </w:rPr>
        <w:t>to continental conflict</w:t>
      </w:r>
      <w:r w:rsidR="00442BC4">
        <w:rPr>
          <w:rFonts w:ascii="Times New Roman" w:hAnsi="Times New Roman" w:cs="Times New Roman"/>
          <w:sz w:val="24"/>
        </w:rPr>
        <w:t>, especially</w:t>
      </w:r>
      <w:r w:rsidR="00E430DE">
        <w:rPr>
          <w:rFonts w:ascii="Times New Roman" w:hAnsi="Times New Roman" w:cs="Times New Roman"/>
          <w:sz w:val="24"/>
        </w:rPr>
        <w:t xml:space="preserve"> following</w:t>
      </w:r>
      <w:r w:rsidR="00442BC4">
        <w:rPr>
          <w:rFonts w:ascii="Times New Roman" w:hAnsi="Times New Roman" w:cs="Times New Roman"/>
          <w:sz w:val="24"/>
        </w:rPr>
        <w:t xml:space="preserve"> </w:t>
      </w:r>
      <w:r w:rsidR="002A2833">
        <w:rPr>
          <w:rFonts w:ascii="Times New Roman" w:hAnsi="Times New Roman" w:cs="Times New Roman"/>
          <w:sz w:val="24"/>
        </w:rPr>
        <w:t>the withdrawal of support for Henri IV</w:t>
      </w:r>
      <w:r w:rsidR="009A1048">
        <w:rPr>
          <w:rFonts w:ascii="Times New Roman" w:hAnsi="Times New Roman" w:cs="Times New Roman"/>
          <w:sz w:val="24"/>
        </w:rPr>
        <w:t xml:space="preserve"> </w:t>
      </w:r>
      <w:r w:rsidR="002A2833">
        <w:rPr>
          <w:rFonts w:ascii="Times New Roman" w:hAnsi="Times New Roman" w:cs="Times New Roman"/>
          <w:sz w:val="24"/>
        </w:rPr>
        <w:t>in</w:t>
      </w:r>
      <w:r w:rsidR="00442BC4">
        <w:rPr>
          <w:rFonts w:ascii="Times New Roman" w:hAnsi="Times New Roman" w:cs="Times New Roman"/>
          <w:sz w:val="24"/>
        </w:rPr>
        <w:t xml:space="preserve"> 159</w:t>
      </w:r>
      <w:r w:rsidR="002A2833">
        <w:rPr>
          <w:rFonts w:ascii="Times New Roman" w:hAnsi="Times New Roman" w:cs="Times New Roman"/>
          <w:sz w:val="24"/>
        </w:rPr>
        <w:t>2</w:t>
      </w:r>
      <w:r w:rsidR="00E430DE">
        <w:rPr>
          <w:rFonts w:ascii="Times New Roman" w:hAnsi="Times New Roman" w:cs="Times New Roman"/>
          <w:sz w:val="24"/>
        </w:rPr>
        <w:t>, the year</w:t>
      </w:r>
      <w:r w:rsidR="00442BC4">
        <w:rPr>
          <w:rFonts w:ascii="Times New Roman" w:hAnsi="Times New Roman" w:cs="Times New Roman"/>
          <w:sz w:val="24"/>
        </w:rPr>
        <w:t xml:space="preserve"> </w:t>
      </w:r>
      <w:r w:rsidR="000D6333">
        <w:rPr>
          <w:rFonts w:ascii="Times New Roman" w:hAnsi="Times New Roman" w:cs="Times New Roman"/>
          <w:i/>
          <w:sz w:val="24"/>
        </w:rPr>
        <w:t xml:space="preserve">Antonius </w:t>
      </w:r>
      <w:r w:rsidR="000D6333">
        <w:rPr>
          <w:rFonts w:ascii="Times New Roman" w:hAnsi="Times New Roman" w:cs="Times New Roman"/>
          <w:sz w:val="24"/>
        </w:rPr>
        <w:t>was published</w:t>
      </w:r>
      <w:r w:rsidR="007E2C15">
        <w:rPr>
          <w:rFonts w:ascii="Times New Roman" w:hAnsi="Times New Roman" w:cs="Times New Roman"/>
          <w:sz w:val="24"/>
        </w:rPr>
        <w:t>.</w:t>
      </w:r>
      <w:r w:rsidR="000D6333">
        <w:rPr>
          <w:rStyle w:val="FootnoteReference"/>
          <w:rFonts w:ascii="Times New Roman" w:hAnsi="Times New Roman" w:cs="Times New Roman"/>
          <w:sz w:val="24"/>
        </w:rPr>
        <w:footnoteReference w:id="84"/>
      </w:r>
      <w:r w:rsidR="007E2C15">
        <w:rPr>
          <w:rFonts w:ascii="Times New Roman" w:hAnsi="Times New Roman" w:cs="Times New Roman"/>
          <w:sz w:val="24"/>
        </w:rPr>
        <w:t xml:space="preserve"> Sidney’s reflections on female rule in </w:t>
      </w:r>
      <w:r w:rsidR="007E2C15">
        <w:rPr>
          <w:rFonts w:ascii="Times New Roman" w:hAnsi="Times New Roman" w:cs="Times New Roman"/>
          <w:i/>
          <w:sz w:val="24"/>
        </w:rPr>
        <w:t>Antonius</w:t>
      </w:r>
      <w:r w:rsidR="007E2C15">
        <w:rPr>
          <w:rFonts w:ascii="Times New Roman" w:hAnsi="Times New Roman" w:cs="Times New Roman"/>
          <w:sz w:val="24"/>
        </w:rPr>
        <w:t>, therefore, portray Elizabeth’s queenship in a</w:t>
      </w:r>
      <w:r w:rsidR="005B18D2">
        <w:rPr>
          <w:rFonts w:ascii="Times New Roman" w:hAnsi="Times New Roman" w:cs="Times New Roman"/>
          <w:sz w:val="24"/>
        </w:rPr>
        <w:t xml:space="preserve"> more troubled light. </w:t>
      </w:r>
      <w:r w:rsidR="00CC4F81">
        <w:rPr>
          <w:rFonts w:ascii="Times New Roman" w:hAnsi="Times New Roman" w:cs="Times New Roman"/>
          <w:sz w:val="24"/>
        </w:rPr>
        <w:t>I</w:t>
      </w:r>
      <w:r w:rsidR="007E2C15">
        <w:rPr>
          <w:rFonts w:ascii="Times New Roman" w:hAnsi="Times New Roman" w:cs="Times New Roman"/>
          <w:sz w:val="24"/>
        </w:rPr>
        <w:t xml:space="preserve">nstead of the providential monarch, female rule is seen as </w:t>
      </w:r>
      <w:r w:rsidR="009E154B">
        <w:rPr>
          <w:rFonts w:ascii="Times New Roman" w:hAnsi="Times New Roman" w:cs="Times New Roman"/>
          <w:sz w:val="24"/>
        </w:rPr>
        <w:t xml:space="preserve">something inherently alien to women and </w:t>
      </w:r>
      <w:r w:rsidR="00110CB8">
        <w:rPr>
          <w:rFonts w:ascii="Times New Roman" w:hAnsi="Times New Roman" w:cs="Times New Roman"/>
          <w:i/>
          <w:sz w:val="24"/>
        </w:rPr>
        <w:t>Antonius</w:t>
      </w:r>
      <w:r w:rsidR="009E154B">
        <w:rPr>
          <w:rFonts w:ascii="Times New Roman" w:hAnsi="Times New Roman" w:cs="Times New Roman"/>
          <w:sz w:val="24"/>
        </w:rPr>
        <w:t xml:space="preserve"> casts doubt on the rhetoric which portray</w:t>
      </w:r>
      <w:r w:rsidR="00A12525">
        <w:rPr>
          <w:rFonts w:ascii="Times New Roman" w:hAnsi="Times New Roman" w:cs="Times New Roman"/>
          <w:sz w:val="24"/>
        </w:rPr>
        <w:t>ed</w:t>
      </w:r>
      <w:r w:rsidR="009E154B">
        <w:rPr>
          <w:rFonts w:ascii="Times New Roman" w:hAnsi="Times New Roman" w:cs="Times New Roman"/>
          <w:sz w:val="24"/>
        </w:rPr>
        <w:t xml:space="preserve"> Elizabeth both as a virtuous woman and a good ruler.</w:t>
      </w:r>
      <w:r w:rsidR="006B0E6A">
        <w:rPr>
          <w:rFonts w:ascii="Times New Roman" w:hAnsi="Times New Roman" w:cs="Times New Roman"/>
          <w:sz w:val="24"/>
        </w:rPr>
        <w:t xml:space="preserve"> </w:t>
      </w:r>
      <w:r w:rsidR="009E154B">
        <w:rPr>
          <w:rFonts w:ascii="Times New Roman" w:hAnsi="Times New Roman" w:cs="Times New Roman"/>
          <w:sz w:val="24"/>
        </w:rPr>
        <w:t xml:space="preserve"> This is not to say that</w:t>
      </w:r>
      <w:r w:rsidR="00483586">
        <w:rPr>
          <w:rFonts w:ascii="Times New Roman" w:hAnsi="Times New Roman" w:cs="Times New Roman"/>
          <w:sz w:val="24"/>
        </w:rPr>
        <w:t xml:space="preserve"> Cleopatra</w:t>
      </w:r>
      <w:r w:rsidR="009E154B">
        <w:rPr>
          <w:rFonts w:ascii="Times New Roman" w:hAnsi="Times New Roman" w:cs="Times New Roman"/>
          <w:sz w:val="24"/>
        </w:rPr>
        <w:t xml:space="preserve"> was intended as a</w:t>
      </w:r>
      <w:r w:rsidR="00CC4F81">
        <w:rPr>
          <w:rFonts w:ascii="Times New Roman" w:hAnsi="Times New Roman" w:cs="Times New Roman"/>
          <w:sz w:val="24"/>
        </w:rPr>
        <w:t>n allegorical stand-in</w:t>
      </w:r>
      <w:r w:rsidR="009E154B">
        <w:rPr>
          <w:rFonts w:ascii="Times New Roman" w:hAnsi="Times New Roman" w:cs="Times New Roman"/>
          <w:sz w:val="24"/>
        </w:rPr>
        <w:t xml:space="preserve"> for Elizabeth</w:t>
      </w:r>
      <w:r w:rsidR="00483586">
        <w:rPr>
          <w:rFonts w:ascii="Times New Roman" w:hAnsi="Times New Roman" w:cs="Times New Roman"/>
          <w:sz w:val="24"/>
        </w:rPr>
        <w:t xml:space="preserve">. </w:t>
      </w:r>
      <w:r w:rsidR="00E50113">
        <w:rPr>
          <w:rFonts w:ascii="Times New Roman" w:hAnsi="Times New Roman" w:cs="Times New Roman"/>
          <w:sz w:val="24"/>
        </w:rPr>
        <w:t>However, by emphasising the questions surrounding female virtue and its relation to politics, Sidney cannot have been unaware of the political implications</w:t>
      </w:r>
      <w:r w:rsidR="00483586">
        <w:rPr>
          <w:rFonts w:ascii="Times New Roman" w:hAnsi="Times New Roman" w:cs="Times New Roman"/>
          <w:sz w:val="24"/>
        </w:rPr>
        <w:t xml:space="preserve"> of the play</w:t>
      </w:r>
      <w:r w:rsidR="00E50113">
        <w:rPr>
          <w:rFonts w:ascii="Times New Roman" w:hAnsi="Times New Roman" w:cs="Times New Roman"/>
          <w:sz w:val="24"/>
        </w:rPr>
        <w:t>, especially since Garnier was a self-proclaimed political playwright.</w:t>
      </w:r>
      <w:r w:rsidR="00E50113">
        <w:rPr>
          <w:rStyle w:val="FootnoteReference"/>
          <w:rFonts w:ascii="Times New Roman" w:hAnsi="Times New Roman" w:cs="Times New Roman"/>
          <w:sz w:val="24"/>
        </w:rPr>
        <w:footnoteReference w:id="85"/>
      </w:r>
      <w:r w:rsidR="00B6375A">
        <w:rPr>
          <w:rFonts w:ascii="Times New Roman" w:hAnsi="Times New Roman" w:cs="Times New Roman"/>
          <w:sz w:val="24"/>
        </w:rPr>
        <w:t xml:space="preserve"> </w:t>
      </w:r>
    </w:p>
    <w:p w14:paraId="7826D4A7" w14:textId="6400B4CB" w:rsidR="00820B40" w:rsidRDefault="00175957" w:rsidP="002D58FB">
      <w:pPr>
        <w:spacing w:line="240" w:lineRule="auto"/>
        <w:jc w:val="both"/>
        <w:rPr>
          <w:rFonts w:ascii="Times New Roman" w:hAnsi="Times New Roman" w:cs="Times New Roman"/>
          <w:sz w:val="24"/>
        </w:rPr>
      </w:pPr>
      <w:r w:rsidRPr="00175957">
        <w:rPr>
          <w:rFonts w:ascii="Times New Roman" w:hAnsi="Times New Roman" w:cs="Times New Roman"/>
          <w:sz w:val="24"/>
        </w:rPr>
        <w:lastRenderedPageBreak/>
        <w:t xml:space="preserve">Dido in Marlowe’s </w:t>
      </w:r>
      <w:r w:rsidRPr="00175957">
        <w:rPr>
          <w:rFonts w:ascii="Times New Roman" w:hAnsi="Times New Roman" w:cs="Times New Roman"/>
          <w:i/>
          <w:sz w:val="24"/>
        </w:rPr>
        <w:t>Dido, Queen of Carthage</w:t>
      </w:r>
      <w:r w:rsidRPr="00175957">
        <w:rPr>
          <w:rFonts w:ascii="Times New Roman" w:hAnsi="Times New Roman" w:cs="Times New Roman"/>
          <w:sz w:val="24"/>
        </w:rPr>
        <w:t xml:space="preserve"> faces a similar problem to Sidney</w:t>
      </w:r>
      <w:r>
        <w:rPr>
          <w:rFonts w:ascii="Times New Roman" w:hAnsi="Times New Roman" w:cs="Times New Roman"/>
          <w:sz w:val="24"/>
        </w:rPr>
        <w:t xml:space="preserve">’s </w:t>
      </w:r>
      <w:r w:rsidRPr="00175957">
        <w:rPr>
          <w:rFonts w:ascii="Times New Roman" w:hAnsi="Times New Roman" w:cs="Times New Roman"/>
          <w:sz w:val="24"/>
        </w:rPr>
        <w:t>Cleopatra</w:t>
      </w:r>
      <w:r w:rsidR="009D2BBC">
        <w:rPr>
          <w:rFonts w:ascii="Times New Roman" w:hAnsi="Times New Roman" w:cs="Times New Roman"/>
          <w:sz w:val="24"/>
        </w:rPr>
        <w:t>, as she also</w:t>
      </w:r>
      <w:r w:rsidR="0040002B">
        <w:rPr>
          <w:rFonts w:ascii="Times New Roman" w:hAnsi="Times New Roman" w:cs="Times New Roman"/>
          <w:sz w:val="24"/>
        </w:rPr>
        <w:t xml:space="preserve"> falls in love with a </w:t>
      </w:r>
      <w:r w:rsidR="00522B6B">
        <w:rPr>
          <w:rFonts w:ascii="Times New Roman" w:hAnsi="Times New Roman" w:cs="Times New Roman"/>
          <w:sz w:val="24"/>
        </w:rPr>
        <w:t>Roman</w:t>
      </w:r>
      <w:r w:rsidR="0040002B">
        <w:rPr>
          <w:rFonts w:ascii="Times New Roman" w:hAnsi="Times New Roman" w:cs="Times New Roman"/>
          <w:sz w:val="24"/>
        </w:rPr>
        <w:t xml:space="preserve"> warr</w:t>
      </w:r>
      <w:r w:rsidR="00E74DC9">
        <w:rPr>
          <w:rFonts w:ascii="Times New Roman" w:hAnsi="Times New Roman" w:cs="Times New Roman"/>
          <w:sz w:val="24"/>
        </w:rPr>
        <w:t xml:space="preserve">ior, </w:t>
      </w:r>
      <w:r w:rsidR="00820B40">
        <w:rPr>
          <w:rFonts w:ascii="Times New Roman" w:hAnsi="Times New Roman" w:cs="Times New Roman"/>
          <w:sz w:val="24"/>
        </w:rPr>
        <w:t>jeopardis</w:t>
      </w:r>
      <w:r w:rsidR="00E74DC9">
        <w:rPr>
          <w:rFonts w:ascii="Times New Roman" w:hAnsi="Times New Roman" w:cs="Times New Roman"/>
          <w:sz w:val="24"/>
        </w:rPr>
        <w:t>ing</w:t>
      </w:r>
      <w:r w:rsidR="00820B40">
        <w:rPr>
          <w:rFonts w:ascii="Times New Roman" w:hAnsi="Times New Roman" w:cs="Times New Roman"/>
          <w:sz w:val="24"/>
        </w:rPr>
        <w:t xml:space="preserve"> her </w:t>
      </w:r>
      <w:r w:rsidR="00CC4F81">
        <w:rPr>
          <w:rFonts w:ascii="Times New Roman" w:hAnsi="Times New Roman" w:cs="Times New Roman"/>
          <w:sz w:val="24"/>
        </w:rPr>
        <w:t xml:space="preserve">queenly </w:t>
      </w:r>
      <w:r w:rsidR="00522B6B">
        <w:rPr>
          <w:rFonts w:ascii="Times New Roman" w:hAnsi="Times New Roman" w:cs="Times New Roman"/>
          <w:sz w:val="24"/>
        </w:rPr>
        <w:t>duties</w:t>
      </w:r>
      <w:r w:rsidR="00820B40">
        <w:rPr>
          <w:rFonts w:ascii="Times New Roman" w:hAnsi="Times New Roman" w:cs="Times New Roman"/>
          <w:sz w:val="24"/>
        </w:rPr>
        <w:t>:</w:t>
      </w:r>
    </w:p>
    <w:p w14:paraId="3FD5998D" w14:textId="77777777" w:rsidR="00820B40" w:rsidRDefault="00820B40" w:rsidP="002D58FB">
      <w:pPr>
        <w:spacing w:line="240" w:lineRule="auto"/>
        <w:ind w:left="720" w:right="2160"/>
        <w:jc w:val="both"/>
        <w:rPr>
          <w:rFonts w:ascii="Times New Roman" w:hAnsi="Times New Roman" w:cs="Times New Roman"/>
          <w:sz w:val="24"/>
        </w:rPr>
      </w:pPr>
      <w:r w:rsidRPr="00820B40">
        <w:rPr>
          <w:rFonts w:ascii="Times New Roman" w:hAnsi="Times New Roman" w:cs="Times New Roman"/>
          <w:sz w:val="24"/>
        </w:rPr>
        <w:t xml:space="preserve">Armies of foes </w:t>
      </w:r>
      <w:proofErr w:type="spellStart"/>
      <w:r w:rsidRPr="00820B40">
        <w:rPr>
          <w:rFonts w:ascii="Times New Roman" w:hAnsi="Times New Roman" w:cs="Times New Roman"/>
          <w:sz w:val="24"/>
        </w:rPr>
        <w:t>resolv’d</w:t>
      </w:r>
      <w:proofErr w:type="spellEnd"/>
      <w:r w:rsidRPr="00820B40">
        <w:rPr>
          <w:rFonts w:ascii="Times New Roman" w:hAnsi="Times New Roman" w:cs="Times New Roman"/>
          <w:sz w:val="24"/>
        </w:rPr>
        <w:t xml:space="preserve"> to win this town,</w:t>
      </w:r>
    </w:p>
    <w:p w14:paraId="74DC1558" w14:textId="72CFEF6B" w:rsidR="00820B40" w:rsidRDefault="00820B40" w:rsidP="002D58FB">
      <w:pPr>
        <w:spacing w:line="240" w:lineRule="auto"/>
        <w:ind w:left="720" w:right="2160"/>
        <w:jc w:val="both"/>
        <w:rPr>
          <w:rFonts w:ascii="Times New Roman" w:hAnsi="Times New Roman" w:cs="Times New Roman"/>
          <w:sz w:val="24"/>
        </w:rPr>
      </w:pPr>
      <w:r w:rsidRPr="00820B40">
        <w:rPr>
          <w:rFonts w:ascii="Times New Roman" w:hAnsi="Times New Roman" w:cs="Times New Roman"/>
          <w:sz w:val="24"/>
        </w:rPr>
        <w:t xml:space="preserve">Or impious </w:t>
      </w:r>
      <w:proofErr w:type="gramStart"/>
      <w:r w:rsidRPr="00820B40">
        <w:rPr>
          <w:rFonts w:ascii="Times New Roman" w:hAnsi="Times New Roman" w:cs="Times New Roman"/>
          <w:sz w:val="24"/>
        </w:rPr>
        <w:t>traitors</w:t>
      </w:r>
      <w:proofErr w:type="gramEnd"/>
      <w:r w:rsidRPr="00820B40">
        <w:rPr>
          <w:rFonts w:ascii="Times New Roman" w:hAnsi="Times New Roman" w:cs="Times New Roman"/>
          <w:sz w:val="24"/>
        </w:rPr>
        <w:t xml:space="preserve"> </w:t>
      </w:r>
      <w:proofErr w:type="spellStart"/>
      <w:r w:rsidRPr="00820B40">
        <w:rPr>
          <w:rFonts w:ascii="Times New Roman" w:hAnsi="Times New Roman" w:cs="Times New Roman"/>
          <w:sz w:val="24"/>
        </w:rPr>
        <w:t>vow’d</w:t>
      </w:r>
      <w:proofErr w:type="spellEnd"/>
      <w:r w:rsidRPr="00820B40">
        <w:rPr>
          <w:rFonts w:ascii="Times New Roman" w:hAnsi="Times New Roman" w:cs="Times New Roman"/>
          <w:sz w:val="24"/>
        </w:rPr>
        <w:t xml:space="preserve"> to have my life,</w:t>
      </w:r>
    </w:p>
    <w:p w14:paraId="1C7167D2" w14:textId="2E20E092" w:rsidR="00820B40" w:rsidRDefault="00820B40" w:rsidP="002D58FB">
      <w:pPr>
        <w:spacing w:line="240" w:lineRule="auto"/>
        <w:ind w:left="720" w:right="2160"/>
        <w:jc w:val="both"/>
        <w:rPr>
          <w:rFonts w:ascii="Times New Roman" w:hAnsi="Times New Roman" w:cs="Times New Roman"/>
          <w:sz w:val="24"/>
        </w:rPr>
      </w:pPr>
      <w:r w:rsidRPr="00820B40">
        <w:rPr>
          <w:rFonts w:ascii="Times New Roman" w:hAnsi="Times New Roman" w:cs="Times New Roman"/>
          <w:sz w:val="24"/>
        </w:rPr>
        <w:t>Affright me not; only Aeneas’ frown</w:t>
      </w:r>
    </w:p>
    <w:p w14:paraId="7285D122" w14:textId="51895841" w:rsidR="00175957" w:rsidRDefault="00820B40" w:rsidP="002D58FB">
      <w:pPr>
        <w:spacing w:line="240" w:lineRule="auto"/>
        <w:ind w:left="720" w:right="2160"/>
        <w:jc w:val="both"/>
        <w:rPr>
          <w:rFonts w:ascii="Times New Roman" w:hAnsi="Times New Roman" w:cs="Times New Roman"/>
          <w:sz w:val="24"/>
        </w:rPr>
      </w:pPr>
      <w:r w:rsidRPr="00820B40">
        <w:rPr>
          <w:rFonts w:ascii="Times New Roman" w:hAnsi="Times New Roman" w:cs="Times New Roman"/>
          <w:sz w:val="24"/>
        </w:rPr>
        <w:t>Is that which terrifies Dido’s heart</w:t>
      </w:r>
      <w:r>
        <w:rPr>
          <w:rFonts w:ascii="Times New Roman" w:hAnsi="Times New Roman" w:cs="Times New Roman"/>
          <w:sz w:val="24"/>
        </w:rPr>
        <w:t>.</w:t>
      </w:r>
      <w:r>
        <w:rPr>
          <w:rStyle w:val="FootnoteReference"/>
          <w:rFonts w:ascii="Times New Roman" w:hAnsi="Times New Roman" w:cs="Times New Roman"/>
          <w:sz w:val="24"/>
        </w:rPr>
        <w:footnoteReference w:id="86"/>
      </w:r>
    </w:p>
    <w:p w14:paraId="77001DB6" w14:textId="0611C393" w:rsidR="00175957" w:rsidRDefault="00CB48BC" w:rsidP="002D58FB">
      <w:pPr>
        <w:spacing w:line="240" w:lineRule="auto"/>
        <w:jc w:val="both"/>
        <w:rPr>
          <w:rFonts w:ascii="Times New Roman" w:hAnsi="Times New Roman" w:cs="Times New Roman"/>
          <w:sz w:val="24"/>
        </w:rPr>
      </w:pPr>
      <w:r>
        <w:rPr>
          <w:rFonts w:ascii="Times New Roman" w:hAnsi="Times New Roman" w:cs="Times New Roman"/>
          <w:sz w:val="24"/>
        </w:rPr>
        <w:t xml:space="preserve">In terms </w:t>
      </w:r>
      <w:r w:rsidR="004862C3">
        <w:rPr>
          <w:rFonts w:ascii="Times New Roman" w:hAnsi="Times New Roman" w:cs="Times New Roman"/>
          <w:sz w:val="24"/>
        </w:rPr>
        <w:t xml:space="preserve">evocative </w:t>
      </w:r>
      <w:r>
        <w:rPr>
          <w:rFonts w:ascii="Times New Roman" w:hAnsi="Times New Roman" w:cs="Times New Roman"/>
          <w:sz w:val="24"/>
        </w:rPr>
        <w:t xml:space="preserve">of fears over </w:t>
      </w:r>
      <w:r w:rsidR="00553077">
        <w:rPr>
          <w:rFonts w:ascii="Times New Roman" w:hAnsi="Times New Roman" w:cs="Times New Roman"/>
          <w:sz w:val="24"/>
        </w:rPr>
        <w:t xml:space="preserve">the </w:t>
      </w:r>
      <w:r w:rsidR="004862C3">
        <w:rPr>
          <w:rFonts w:ascii="Times New Roman" w:hAnsi="Times New Roman" w:cs="Times New Roman"/>
          <w:sz w:val="24"/>
        </w:rPr>
        <w:t xml:space="preserve">prospect </w:t>
      </w:r>
      <w:r w:rsidR="00D069EB">
        <w:rPr>
          <w:rFonts w:ascii="Times New Roman" w:hAnsi="Times New Roman" w:cs="Times New Roman"/>
          <w:sz w:val="24"/>
        </w:rPr>
        <w:t>of Elizabeth marrying</w:t>
      </w:r>
      <w:r>
        <w:rPr>
          <w:rFonts w:ascii="Times New Roman" w:hAnsi="Times New Roman" w:cs="Times New Roman"/>
          <w:sz w:val="24"/>
        </w:rPr>
        <w:t xml:space="preserve"> which had dominated political discussion in the late 1570s, Dido crowns Aeneas and asks him to ‘Sway…the </w:t>
      </w:r>
      <w:proofErr w:type="spellStart"/>
      <w:r>
        <w:rPr>
          <w:rFonts w:ascii="Times New Roman" w:hAnsi="Times New Roman" w:cs="Times New Roman"/>
          <w:sz w:val="24"/>
        </w:rPr>
        <w:t>punic</w:t>
      </w:r>
      <w:proofErr w:type="spellEnd"/>
      <w:r>
        <w:rPr>
          <w:rFonts w:ascii="Times New Roman" w:hAnsi="Times New Roman" w:cs="Times New Roman"/>
          <w:sz w:val="24"/>
        </w:rPr>
        <w:t xml:space="preserve"> sceptre in my stead’.</w:t>
      </w:r>
      <w:r>
        <w:rPr>
          <w:rStyle w:val="FootnoteReference"/>
          <w:rFonts w:ascii="Times New Roman" w:hAnsi="Times New Roman" w:cs="Times New Roman"/>
          <w:sz w:val="24"/>
        </w:rPr>
        <w:footnoteReference w:id="87"/>
      </w:r>
      <w:r>
        <w:rPr>
          <w:rFonts w:ascii="Times New Roman" w:hAnsi="Times New Roman" w:cs="Times New Roman"/>
          <w:sz w:val="24"/>
        </w:rPr>
        <w:t xml:space="preserve"> </w:t>
      </w:r>
      <w:r w:rsidR="003D387D">
        <w:rPr>
          <w:rFonts w:ascii="Times New Roman" w:hAnsi="Times New Roman" w:cs="Times New Roman"/>
          <w:sz w:val="24"/>
        </w:rPr>
        <w:t xml:space="preserve">However, in contrast to Antony in </w:t>
      </w:r>
      <w:r w:rsidR="003D387D">
        <w:rPr>
          <w:rFonts w:ascii="Times New Roman" w:hAnsi="Times New Roman" w:cs="Times New Roman"/>
          <w:i/>
          <w:sz w:val="24"/>
        </w:rPr>
        <w:t>Antonius</w:t>
      </w:r>
      <w:r w:rsidR="003D387D">
        <w:rPr>
          <w:rFonts w:ascii="Times New Roman" w:hAnsi="Times New Roman" w:cs="Times New Roman"/>
          <w:sz w:val="24"/>
        </w:rPr>
        <w:t>, Aeneas does not let his relationship with Dido consume him, eventually leaving her to continue his divine mission to f</w:t>
      </w:r>
      <w:r w:rsidR="00B233D8">
        <w:rPr>
          <w:rFonts w:ascii="Times New Roman" w:hAnsi="Times New Roman" w:cs="Times New Roman"/>
          <w:sz w:val="24"/>
        </w:rPr>
        <w:t>ound Rome</w:t>
      </w:r>
      <w:r w:rsidR="003D387D">
        <w:rPr>
          <w:rFonts w:ascii="Times New Roman" w:hAnsi="Times New Roman" w:cs="Times New Roman"/>
          <w:sz w:val="24"/>
        </w:rPr>
        <w:t>. He chooses to pursue ‘Fame’s immortal house’ rather than be made ‘</w:t>
      </w:r>
      <w:proofErr w:type="spellStart"/>
      <w:r w:rsidR="003D387D">
        <w:rPr>
          <w:rFonts w:ascii="Times New Roman" w:hAnsi="Times New Roman" w:cs="Times New Roman"/>
          <w:sz w:val="24"/>
        </w:rPr>
        <w:t>effiminate</w:t>
      </w:r>
      <w:proofErr w:type="spellEnd"/>
      <w:r w:rsidR="003D387D">
        <w:rPr>
          <w:rFonts w:ascii="Times New Roman" w:hAnsi="Times New Roman" w:cs="Times New Roman"/>
          <w:sz w:val="24"/>
        </w:rPr>
        <w:t xml:space="preserve">’ by ‘courtly ease’ and ‘that </w:t>
      </w:r>
      <w:proofErr w:type="spellStart"/>
      <w:r w:rsidR="003D387D">
        <w:rPr>
          <w:rFonts w:ascii="Times New Roman" w:hAnsi="Times New Roman" w:cs="Times New Roman"/>
          <w:sz w:val="24"/>
        </w:rPr>
        <w:t>ticing</w:t>
      </w:r>
      <w:proofErr w:type="spellEnd"/>
      <w:r w:rsidR="003D387D">
        <w:rPr>
          <w:rFonts w:ascii="Times New Roman" w:hAnsi="Times New Roman" w:cs="Times New Roman"/>
          <w:sz w:val="24"/>
        </w:rPr>
        <w:t xml:space="preserve"> dame.’</w:t>
      </w:r>
      <w:r w:rsidR="003D387D">
        <w:rPr>
          <w:rStyle w:val="FootnoteReference"/>
          <w:rFonts w:ascii="Times New Roman" w:hAnsi="Times New Roman" w:cs="Times New Roman"/>
          <w:sz w:val="24"/>
        </w:rPr>
        <w:footnoteReference w:id="88"/>
      </w:r>
      <w:r w:rsidR="00693CAE">
        <w:rPr>
          <w:rFonts w:ascii="Times New Roman" w:hAnsi="Times New Roman" w:cs="Times New Roman"/>
          <w:sz w:val="24"/>
        </w:rPr>
        <w:t xml:space="preserve"> Aeneas does realise, however, that</w:t>
      </w:r>
    </w:p>
    <w:p w14:paraId="1F4AEF3B" w14:textId="5BB68F8B" w:rsidR="00693CAE" w:rsidRDefault="00693CAE" w:rsidP="002D58FB">
      <w:pPr>
        <w:spacing w:line="240" w:lineRule="auto"/>
        <w:ind w:left="720" w:right="2160"/>
        <w:jc w:val="both"/>
        <w:rPr>
          <w:rFonts w:ascii="Times New Roman" w:hAnsi="Times New Roman" w:cs="Times New Roman"/>
          <w:sz w:val="24"/>
        </w:rPr>
      </w:pPr>
      <w:r>
        <w:rPr>
          <w:rFonts w:ascii="Times New Roman" w:hAnsi="Times New Roman" w:cs="Times New Roman"/>
          <w:sz w:val="24"/>
        </w:rPr>
        <w:t>To leave her [Dido] so, and not once say farewell,</w:t>
      </w:r>
    </w:p>
    <w:p w14:paraId="05ADB2F2" w14:textId="4751CC07" w:rsidR="00693CAE" w:rsidRDefault="00693CAE" w:rsidP="002D58FB">
      <w:pPr>
        <w:spacing w:line="240" w:lineRule="auto"/>
        <w:ind w:left="720" w:right="2160"/>
        <w:jc w:val="both"/>
        <w:rPr>
          <w:rFonts w:ascii="Times New Roman" w:hAnsi="Times New Roman" w:cs="Times New Roman"/>
          <w:sz w:val="24"/>
        </w:rPr>
      </w:pPr>
      <w:r>
        <w:rPr>
          <w:rFonts w:ascii="Times New Roman" w:hAnsi="Times New Roman" w:cs="Times New Roman"/>
          <w:sz w:val="24"/>
        </w:rPr>
        <w:t>Were to transgress against all laws of love.</w:t>
      </w:r>
      <w:r w:rsidR="0073617E">
        <w:rPr>
          <w:rStyle w:val="FootnoteReference"/>
          <w:rFonts w:ascii="Times New Roman" w:hAnsi="Times New Roman" w:cs="Times New Roman"/>
          <w:sz w:val="24"/>
        </w:rPr>
        <w:footnoteReference w:id="89"/>
      </w:r>
    </w:p>
    <w:p w14:paraId="25BC5196" w14:textId="5082CB82" w:rsidR="00693CAE" w:rsidRDefault="0004663D" w:rsidP="002D58FB">
      <w:pPr>
        <w:spacing w:line="240" w:lineRule="auto"/>
        <w:jc w:val="both"/>
        <w:rPr>
          <w:rFonts w:ascii="Times New Roman" w:hAnsi="Times New Roman" w:cs="Times New Roman"/>
          <w:sz w:val="24"/>
        </w:rPr>
      </w:pPr>
      <w:r>
        <w:rPr>
          <w:rFonts w:ascii="Times New Roman" w:hAnsi="Times New Roman" w:cs="Times New Roman"/>
          <w:sz w:val="24"/>
        </w:rPr>
        <w:t>This suggests that Aeneas is aware that his divine mission goes against what would be</w:t>
      </w:r>
      <w:r w:rsidR="00953F4D">
        <w:rPr>
          <w:rFonts w:ascii="Times New Roman" w:hAnsi="Times New Roman" w:cs="Times New Roman"/>
          <w:sz w:val="24"/>
        </w:rPr>
        <w:t xml:space="preserve"> considered</w:t>
      </w:r>
      <w:r>
        <w:rPr>
          <w:rFonts w:ascii="Times New Roman" w:hAnsi="Times New Roman" w:cs="Times New Roman"/>
          <w:sz w:val="24"/>
        </w:rPr>
        <w:t xml:space="preserve"> morally good within the private sphere of his relationship with Dido, yet he leaves her anyway to pursue his public duty</w:t>
      </w:r>
      <w:r w:rsidR="00483586">
        <w:rPr>
          <w:rFonts w:ascii="Times New Roman" w:hAnsi="Times New Roman" w:cs="Times New Roman"/>
          <w:sz w:val="24"/>
        </w:rPr>
        <w:t>. This contrasts with</w:t>
      </w:r>
      <w:r>
        <w:rPr>
          <w:rFonts w:ascii="Times New Roman" w:hAnsi="Times New Roman" w:cs="Times New Roman"/>
          <w:sz w:val="24"/>
        </w:rPr>
        <w:t xml:space="preserve"> Cleopatra</w:t>
      </w:r>
      <w:r w:rsidR="00483586">
        <w:rPr>
          <w:rFonts w:ascii="Times New Roman" w:hAnsi="Times New Roman" w:cs="Times New Roman"/>
          <w:sz w:val="24"/>
        </w:rPr>
        <w:t>,</w:t>
      </w:r>
      <w:r>
        <w:rPr>
          <w:rFonts w:ascii="Times New Roman" w:hAnsi="Times New Roman" w:cs="Times New Roman"/>
          <w:sz w:val="24"/>
        </w:rPr>
        <w:t xml:space="preserve"> who sacrifices her public </w:t>
      </w:r>
      <w:r w:rsidR="00610507">
        <w:rPr>
          <w:rFonts w:ascii="Times New Roman" w:hAnsi="Times New Roman" w:cs="Times New Roman"/>
          <w:sz w:val="24"/>
        </w:rPr>
        <w:t>duty</w:t>
      </w:r>
      <w:r>
        <w:rPr>
          <w:rFonts w:ascii="Times New Roman" w:hAnsi="Times New Roman" w:cs="Times New Roman"/>
          <w:sz w:val="24"/>
        </w:rPr>
        <w:t xml:space="preserve"> to her private </w:t>
      </w:r>
      <w:r w:rsidR="00610507">
        <w:rPr>
          <w:rFonts w:ascii="Times New Roman" w:hAnsi="Times New Roman" w:cs="Times New Roman"/>
          <w:sz w:val="24"/>
        </w:rPr>
        <w:t>obligations</w:t>
      </w:r>
      <w:r>
        <w:rPr>
          <w:rFonts w:ascii="Times New Roman" w:hAnsi="Times New Roman" w:cs="Times New Roman"/>
          <w:sz w:val="24"/>
        </w:rPr>
        <w:t xml:space="preserve"> to Antony. </w:t>
      </w:r>
      <w:r w:rsidR="0064686A">
        <w:rPr>
          <w:rFonts w:ascii="Times New Roman" w:hAnsi="Times New Roman" w:cs="Times New Roman"/>
          <w:sz w:val="24"/>
        </w:rPr>
        <w:t>Dido</w:t>
      </w:r>
      <w:r w:rsidR="00EB6FB5">
        <w:rPr>
          <w:rFonts w:ascii="Times New Roman" w:hAnsi="Times New Roman" w:cs="Times New Roman"/>
          <w:sz w:val="24"/>
        </w:rPr>
        <w:t>, meanwhile,</w:t>
      </w:r>
      <w:r w:rsidR="00E068B3">
        <w:rPr>
          <w:rFonts w:ascii="Times New Roman" w:hAnsi="Times New Roman" w:cs="Times New Roman"/>
          <w:sz w:val="24"/>
        </w:rPr>
        <w:t xml:space="preserve"> </w:t>
      </w:r>
      <w:r w:rsidR="009E69BA">
        <w:rPr>
          <w:rFonts w:ascii="Times New Roman" w:hAnsi="Times New Roman" w:cs="Times New Roman"/>
          <w:sz w:val="24"/>
        </w:rPr>
        <w:t>is</w:t>
      </w:r>
      <w:r w:rsidR="0064686A">
        <w:rPr>
          <w:rFonts w:ascii="Times New Roman" w:hAnsi="Times New Roman" w:cs="Times New Roman"/>
          <w:sz w:val="24"/>
        </w:rPr>
        <w:t xml:space="preserve"> sacrificed to Aeneas’ divine mission: she is made to fall in love with</w:t>
      </w:r>
      <w:r w:rsidR="009E69BA">
        <w:rPr>
          <w:rFonts w:ascii="Times New Roman" w:hAnsi="Times New Roman" w:cs="Times New Roman"/>
          <w:sz w:val="24"/>
        </w:rPr>
        <w:t xml:space="preserve"> him</w:t>
      </w:r>
      <w:r w:rsidR="00B9528C">
        <w:rPr>
          <w:rFonts w:ascii="Times New Roman" w:hAnsi="Times New Roman" w:cs="Times New Roman"/>
          <w:sz w:val="24"/>
        </w:rPr>
        <w:t xml:space="preserve"> by Venus</w:t>
      </w:r>
      <w:r w:rsidR="0064686A">
        <w:rPr>
          <w:rFonts w:ascii="Times New Roman" w:hAnsi="Times New Roman" w:cs="Times New Roman"/>
          <w:sz w:val="24"/>
        </w:rPr>
        <w:t xml:space="preserve"> </w:t>
      </w:r>
      <w:r w:rsidR="00671738">
        <w:rPr>
          <w:rFonts w:ascii="Times New Roman" w:hAnsi="Times New Roman" w:cs="Times New Roman"/>
          <w:sz w:val="24"/>
        </w:rPr>
        <w:t xml:space="preserve">only </w:t>
      </w:r>
      <w:r w:rsidR="004C61CB">
        <w:rPr>
          <w:rFonts w:ascii="Times New Roman" w:hAnsi="Times New Roman" w:cs="Times New Roman"/>
          <w:sz w:val="24"/>
        </w:rPr>
        <w:t>so that she will help repair Aeneas’ ships, enabling him to leave her</w:t>
      </w:r>
      <w:r w:rsidR="0064686A">
        <w:rPr>
          <w:rFonts w:ascii="Times New Roman" w:hAnsi="Times New Roman" w:cs="Times New Roman"/>
          <w:sz w:val="24"/>
        </w:rPr>
        <w:t>.</w:t>
      </w:r>
      <w:r w:rsidR="00E068B3">
        <w:rPr>
          <w:rStyle w:val="FootnoteReference"/>
          <w:rFonts w:ascii="Times New Roman" w:hAnsi="Times New Roman" w:cs="Times New Roman"/>
          <w:sz w:val="24"/>
        </w:rPr>
        <w:footnoteReference w:id="90"/>
      </w:r>
      <w:r w:rsidR="0064686A">
        <w:rPr>
          <w:rFonts w:ascii="Times New Roman" w:hAnsi="Times New Roman" w:cs="Times New Roman"/>
          <w:sz w:val="24"/>
        </w:rPr>
        <w:t xml:space="preserve"> </w:t>
      </w:r>
      <w:r w:rsidR="00776D8C">
        <w:rPr>
          <w:rFonts w:ascii="Times New Roman" w:hAnsi="Times New Roman" w:cs="Times New Roman"/>
          <w:sz w:val="24"/>
        </w:rPr>
        <w:t xml:space="preserve">Dido </w:t>
      </w:r>
      <w:r w:rsidR="0064686A">
        <w:rPr>
          <w:rFonts w:ascii="Times New Roman" w:hAnsi="Times New Roman" w:cs="Times New Roman"/>
          <w:sz w:val="24"/>
        </w:rPr>
        <w:t>shows some recognition of this, pleading with Aeneas to ‘in mine arms make thy Italy’ and declaring that her love makes her ‘not free.’</w:t>
      </w:r>
      <w:r w:rsidR="0064686A">
        <w:rPr>
          <w:rStyle w:val="FootnoteReference"/>
          <w:rFonts w:ascii="Times New Roman" w:hAnsi="Times New Roman" w:cs="Times New Roman"/>
          <w:sz w:val="24"/>
        </w:rPr>
        <w:footnoteReference w:id="91"/>
      </w:r>
      <w:r w:rsidR="0064686A">
        <w:rPr>
          <w:rFonts w:ascii="Times New Roman" w:hAnsi="Times New Roman" w:cs="Times New Roman"/>
          <w:sz w:val="24"/>
        </w:rPr>
        <w:t xml:space="preserve"> In the end, of course, Aeneas does leave Dido to continue with his duty, whilst Did</w:t>
      </w:r>
      <w:r w:rsidR="00F340F2">
        <w:rPr>
          <w:rFonts w:ascii="Times New Roman" w:hAnsi="Times New Roman" w:cs="Times New Roman"/>
          <w:sz w:val="24"/>
        </w:rPr>
        <w:t>o</w:t>
      </w:r>
      <w:r w:rsidR="0064686A">
        <w:rPr>
          <w:rFonts w:ascii="Times New Roman" w:hAnsi="Times New Roman" w:cs="Times New Roman"/>
          <w:sz w:val="24"/>
        </w:rPr>
        <w:t xml:space="preserve"> commits suicide</w:t>
      </w:r>
      <w:r w:rsidR="007C6DB4">
        <w:rPr>
          <w:rFonts w:ascii="Times New Roman" w:hAnsi="Times New Roman" w:cs="Times New Roman"/>
          <w:sz w:val="24"/>
        </w:rPr>
        <w:t xml:space="preserve">, </w:t>
      </w:r>
      <w:r w:rsidR="00E838EE">
        <w:rPr>
          <w:rFonts w:ascii="Times New Roman" w:hAnsi="Times New Roman" w:cs="Times New Roman"/>
          <w:sz w:val="24"/>
        </w:rPr>
        <w:t>mingling</w:t>
      </w:r>
      <w:r w:rsidR="007C6DB4">
        <w:rPr>
          <w:rFonts w:ascii="Times New Roman" w:hAnsi="Times New Roman" w:cs="Times New Roman"/>
          <w:sz w:val="24"/>
        </w:rPr>
        <w:t xml:space="preserve"> her love and despair with hatred as </w:t>
      </w:r>
      <w:r w:rsidR="00E838EE">
        <w:rPr>
          <w:rFonts w:ascii="Times New Roman" w:hAnsi="Times New Roman" w:cs="Times New Roman"/>
          <w:sz w:val="24"/>
        </w:rPr>
        <w:t>she</w:t>
      </w:r>
      <w:r w:rsidR="007C6DB4">
        <w:rPr>
          <w:rFonts w:ascii="Times New Roman" w:hAnsi="Times New Roman" w:cs="Times New Roman"/>
          <w:sz w:val="24"/>
        </w:rPr>
        <w:t xml:space="preserve"> curses Aeneas’ new land of Italy, prophesying the rise of Hannibal and the clash of their two nations.</w:t>
      </w:r>
      <w:r w:rsidR="007C6DB4">
        <w:rPr>
          <w:rStyle w:val="FootnoteReference"/>
          <w:rFonts w:ascii="Times New Roman" w:hAnsi="Times New Roman" w:cs="Times New Roman"/>
          <w:sz w:val="24"/>
        </w:rPr>
        <w:footnoteReference w:id="92"/>
      </w:r>
      <w:r w:rsidR="00BC341F">
        <w:rPr>
          <w:rFonts w:ascii="Times New Roman" w:hAnsi="Times New Roman" w:cs="Times New Roman"/>
          <w:sz w:val="24"/>
        </w:rPr>
        <w:t xml:space="preserve"> </w:t>
      </w:r>
      <w:r w:rsidR="00CF3693">
        <w:rPr>
          <w:rFonts w:ascii="Times New Roman" w:hAnsi="Times New Roman" w:cs="Times New Roman"/>
          <w:sz w:val="24"/>
        </w:rPr>
        <w:t>This clash of empires may reflect increasing worries throughout the 1580s about war with Spain</w:t>
      </w:r>
      <w:r w:rsidR="00483586">
        <w:rPr>
          <w:rFonts w:ascii="Times New Roman" w:hAnsi="Times New Roman" w:cs="Times New Roman"/>
          <w:sz w:val="24"/>
        </w:rPr>
        <w:t xml:space="preserve"> and </w:t>
      </w:r>
      <w:r w:rsidR="009143C6">
        <w:rPr>
          <w:rFonts w:ascii="Times New Roman" w:hAnsi="Times New Roman" w:cs="Times New Roman"/>
          <w:sz w:val="24"/>
        </w:rPr>
        <w:t>o</w:t>
      </w:r>
      <w:r w:rsidR="00483586">
        <w:rPr>
          <w:rFonts w:ascii="Times New Roman" w:hAnsi="Times New Roman" w:cs="Times New Roman"/>
          <w:sz w:val="24"/>
        </w:rPr>
        <w:t>n the continent</w:t>
      </w:r>
      <w:r w:rsidR="009143C6">
        <w:rPr>
          <w:rFonts w:ascii="Times New Roman" w:hAnsi="Times New Roman" w:cs="Times New Roman"/>
          <w:sz w:val="24"/>
        </w:rPr>
        <w:t>.</w:t>
      </w:r>
    </w:p>
    <w:p w14:paraId="58B0B114" w14:textId="1EF8DC1F" w:rsidR="007554F1" w:rsidRDefault="0030333B" w:rsidP="002D58FB">
      <w:pPr>
        <w:spacing w:line="240" w:lineRule="auto"/>
        <w:jc w:val="both"/>
        <w:rPr>
          <w:rFonts w:ascii="Times New Roman" w:hAnsi="Times New Roman" w:cs="Times New Roman"/>
          <w:sz w:val="24"/>
        </w:rPr>
      </w:pPr>
      <w:r>
        <w:rPr>
          <w:rFonts w:ascii="Times New Roman" w:hAnsi="Times New Roman" w:cs="Times New Roman"/>
          <w:sz w:val="24"/>
        </w:rPr>
        <w:t>C</w:t>
      </w:r>
      <w:r w:rsidR="0064686A">
        <w:rPr>
          <w:rFonts w:ascii="Times New Roman" w:hAnsi="Times New Roman" w:cs="Times New Roman"/>
          <w:sz w:val="24"/>
        </w:rPr>
        <w:t xml:space="preserve">ontrasting </w:t>
      </w:r>
      <w:r w:rsidR="0064686A">
        <w:rPr>
          <w:rFonts w:ascii="Times New Roman" w:hAnsi="Times New Roman" w:cs="Times New Roman"/>
          <w:i/>
          <w:sz w:val="24"/>
        </w:rPr>
        <w:t xml:space="preserve">Dido </w:t>
      </w:r>
      <w:r w:rsidR="0064686A">
        <w:rPr>
          <w:rFonts w:ascii="Times New Roman" w:hAnsi="Times New Roman" w:cs="Times New Roman"/>
          <w:sz w:val="24"/>
        </w:rPr>
        <w:t xml:space="preserve">with </w:t>
      </w:r>
      <w:r w:rsidR="0064686A">
        <w:rPr>
          <w:rFonts w:ascii="Times New Roman" w:hAnsi="Times New Roman" w:cs="Times New Roman"/>
          <w:i/>
          <w:sz w:val="24"/>
        </w:rPr>
        <w:t>Antonius</w:t>
      </w:r>
      <w:r w:rsidR="0064686A">
        <w:rPr>
          <w:rFonts w:ascii="Times New Roman" w:hAnsi="Times New Roman" w:cs="Times New Roman"/>
          <w:sz w:val="24"/>
        </w:rPr>
        <w:t xml:space="preserve"> highlights the differences between the public and private duties of men and women for w</w:t>
      </w:r>
      <w:r w:rsidR="0064686A" w:rsidRPr="0064686A">
        <w:rPr>
          <w:rFonts w:ascii="Times New Roman" w:hAnsi="Times New Roman" w:cs="Times New Roman"/>
          <w:sz w:val="24"/>
        </w:rPr>
        <w:t>hilst Aeneas</w:t>
      </w:r>
      <w:r w:rsidR="009E69BA">
        <w:rPr>
          <w:rFonts w:ascii="Times New Roman" w:hAnsi="Times New Roman" w:cs="Times New Roman"/>
          <w:sz w:val="24"/>
        </w:rPr>
        <w:t xml:space="preserve"> never truly doubts where his duty lies and</w:t>
      </w:r>
      <w:r w:rsidR="0064686A" w:rsidRPr="0064686A">
        <w:rPr>
          <w:rFonts w:ascii="Times New Roman" w:hAnsi="Times New Roman" w:cs="Times New Roman"/>
          <w:sz w:val="24"/>
        </w:rPr>
        <w:t xml:space="preserve"> is praised for abandoning</w:t>
      </w:r>
      <w:r w:rsidR="00610507">
        <w:rPr>
          <w:rFonts w:ascii="Times New Roman" w:hAnsi="Times New Roman" w:cs="Times New Roman"/>
          <w:sz w:val="24"/>
        </w:rPr>
        <w:t xml:space="preserve"> his lover</w:t>
      </w:r>
      <w:r w:rsidR="0064686A" w:rsidRPr="0064686A">
        <w:rPr>
          <w:rFonts w:ascii="Times New Roman" w:hAnsi="Times New Roman" w:cs="Times New Roman"/>
          <w:sz w:val="24"/>
        </w:rPr>
        <w:t xml:space="preserve"> in pursuit of the public good</w:t>
      </w:r>
      <w:r w:rsidR="009E69BA">
        <w:rPr>
          <w:rFonts w:ascii="Times New Roman" w:hAnsi="Times New Roman" w:cs="Times New Roman"/>
          <w:sz w:val="24"/>
        </w:rPr>
        <w:t>,</w:t>
      </w:r>
      <w:r w:rsidR="0064686A" w:rsidRPr="0064686A">
        <w:rPr>
          <w:rFonts w:ascii="Times New Roman" w:hAnsi="Times New Roman" w:cs="Times New Roman"/>
          <w:sz w:val="24"/>
        </w:rPr>
        <w:t xml:space="preserve"> Cleopatra in </w:t>
      </w:r>
      <w:r w:rsidR="0064686A" w:rsidRPr="0064686A">
        <w:rPr>
          <w:rFonts w:ascii="Times New Roman" w:hAnsi="Times New Roman" w:cs="Times New Roman"/>
          <w:i/>
          <w:sz w:val="24"/>
        </w:rPr>
        <w:t>Antonius</w:t>
      </w:r>
      <w:r w:rsidR="0064686A" w:rsidRPr="0064686A">
        <w:rPr>
          <w:rFonts w:ascii="Times New Roman" w:hAnsi="Times New Roman" w:cs="Times New Roman"/>
          <w:sz w:val="24"/>
        </w:rPr>
        <w:t xml:space="preserve"> worries that if she abandons Antony</w:t>
      </w:r>
      <w:r w:rsidR="00EB6578">
        <w:rPr>
          <w:rFonts w:ascii="Times New Roman" w:hAnsi="Times New Roman" w:cs="Times New Roman"/>
          <w:sz w:val="24"/>
        </w:rPr>
        <w:t>, even to save Egypt,</w:t>
      </w:r>
      <w:r w:rsidR="0064686A" w:rsidRPr="0064686A">
        <w:rPr>
          <w:rFonts w:ascii="Times New Roman" w:hAnsi="Times New Roman" w:cs="Times New Roman"/>
          <w:sz w:val="24"/>
        </w:rPr>
        <w:t xml:space="preserve"> she will be scorned for inconstancy. Meanwhile, Dido</w:t>
      </w:r>
      <w:r w:rsidR="0064686A">
        <w:rPr>
          <w:rFonts w:ascii="Times New Roman" w:hAnsi="Times New Roman" w:cs="Times New Roman"/>
          <w:sz w:val="24"/>
        </w:rPr>
        <w:t>’s love for Aeneas</w:t>
      </w:r>
      <w:r w:rsidR="0064686A" w:rsidRPr="0064686A">
        <w:rPr>
          <w:rFonts w:ascii="Times New Roman" w:hAnsi="Times New Roman" w:cs="Times New Roman"/>
          <w:sz w:val="24"/>
        </w:rPr>
        <w:t xml:space="preserve"> is painted as </w:t>
      </w:r>
      <w:r w:rsidR="0064686A">
        <w:rPr>
          <w:rFonts w:ascii="Times New Roman" w:hAnsi="Times New Roman" w:cs="Times New Roman"/>
          <w:sz w:val="24"/>
        </w:rPr>
        <w:t>damaging to her kingdom,</w:t>
      </w:r>
      <w:r w:rsidR="007C6DB4">
        <w:rPr>
          <w:rFonts w:ascii="Times New Roman" w:hAnsi="Times New Roman" w:cs="Times New Roman"/>
          <w:sz w:val="24"/>
        </w:rPr>
        <w:t xml:space="preserve"> which she neglects</w:t>
      </w:r>
      <w:r w:rsidR="0064686A">
        <w:rPr>
          <w:rFonts w:ascii="Times New Roman" w:hAnsi="Times New Roman" w:cs="Times New Roman"/>
          <w:sz w:val="24"/>
        </w:rPr>
        <w:t>,</w:t>
      </w:r>
      <w:r w:rsidR="007C6DB4">
        <w:rPr>
          <w:rFonts w:ascii="Times New Roman" w:hAnsi="Times New Roman" w:cs="Times New Roman"/>
          <w:sz w:val="24"/>
        </w:rPr>
        <w:t xml:space="preserve"> the wider world, which will be torn asunder by the Hannibalic War </w:t>
      </w:r>
      <w:r w:rsidR="00483586">
        <w:rPr>
          <w:rFonts w:ascii="Times New Roman" w:hAnsi="Times New Roman" w:cs="Times New Roman"/>
          <w:sz w:val="24"/>
        </w:rPr>
        <w:t>because of</w:t>
      </w:r>
      <w:r w:rsidR="007C6DB4">
        <w:rPr>
          <w:rFonts w:ascii="Times New Roman" w:hAnsi="Times New Roman" w:cs="Times New Roman"/>
          <w:sz w:val="24"/>
        </w:rPr>
        <w:t xml:space="preserve"> her curse,</w:t>
      </w:r>
      <w:r w:rsidR="0064686A">
        <w:rPr>
          <w:rFonts w:ascii="Times New Roman" w:hAnsi="Times New Roman" w:cs="Times New Roman"/>
          <w:sz w:val="24"/>
        </w:rPr>
        <w:t xml:space="preserve"> and causes her own death, as well as the deaths of her sister and her suitor </w:t>
      </w:r>
      <w:proofErr w:type="spellStart"/>
      <w:r w:rsidR="0064686A">
        <w:rPr>
          <w:rFonts w:ascii="Times New Roman" w:hAnsi="Times New Roman" w:cs="Times New Roman"/>
          <w:sz w:val="24"/>
        </w:rPr>
        <w:t>Iarbas</w:t>
      </w:r>
      <w:proofErr w:type="spellEnd"/>
      <w:r w:rsidR="0064686A">
        <w:rPr>
          <w:rFonts w:ascii="Times New Roman" w:hAnsi="Times New Roman" w:cs="Times New Roman"/>
          <w:sz w:val="24"/>
        </w:rPr>
        <w:t>.</w:t>
      </w:r>
      <w:r w:rsidR="00465295">
        <w:rPr>
          <w:rFonts w:ascii="Times New Roman" w:hAnsi="Times New Roman" w:cs="Times New Roman"/>
          <w:sz w:val="24"/>
        </w:rPr>
        <w:t xml:space="preserve"> </w:t>
      </w:r>
      <w:r w:rsidR="00465295" w:rsidRPr="00465295">
        <w:rPr>
          <w:rFonts w:ascii="Times New Roman" w:hAnsi="Times New Roman" w:cs="Times New Roman"/>
          <w:sz w:val="24"/>
        </w:rPr>
        <w:t xml:space="preserve">Although the politics of the play are far more oblique than Sidney’s, </w:t>
      </w:r>
      <w:proofErr w:type="gramStart"/>
      <w:r w:rsidR="00465295" w:rsidRPr="00465295">
        <w:rPr>
          <w:rFonts w:ascii="Times New Roman" w:hAnsi="Times New Roman" w:cs="Times New Roman"/>
          <w:sz w:val="24"/>
        </w:rPr>
        <w:t>it is clear that in</w:t>
      </w:r>
      <w:proofErr w:type="gramEnd"/>
      <w:r w:rsidR="00465295" w:rsidRPr="00465295">
        <w:rPr>
          <w:rFonts w:ascii="Times New Roman" w:hAnsi="Times New Roman" w:cs="Times New Roman"/>
          <w:sz w:val="24"/>
        </w:rPr>
        <w:t xml:space="preserve"> considering female rule, Marlowe uses normative female virtues and expected behaviour to suggest an incompatibility with stable </w:t>
      </w:r>
      <w:r w:rsidR="00465295" w:rsidRPr="00465295">
        <w:rPr>
          <w:rFonts w:ascii="Times New Roman" w:hAnsi="Times New Roman" w:cs="Times New Roman"/>
          <w:sz w:val="24"/>
        </w:rPr>
        <w:lastRenderedPageBreak/>
        <w:t xml:space="preserve">monarchy that challenges the very nature of female rule, whilst suggesting that male virtue is more inherently political. It is possible that Marlowe was motivated to criticise female rule from the opposite side of the political spectrum to Sidney: </w:t>
      </w:r>
      <w:r w:rsidR="00483586">
        <w:rPr>
          <w:rFonts w:ascii="Times New Roman" w:hAnsi="Times New Roman" w:cs="Times New Roman"/>
          <w:sz w:val="24"/>
        </w:rPr>
        <w:t>Dido’s</w:t>
      </w:r>
      <w:r w:rsidR="00465295" w:rsidRPr="00465295">
        <w:rPr>
          <w:rFonts w:ascii="Times New Roman" w:hAnsi="Times New Roman" w:cs="Times New Roman"/>
          <w:sz w:val="24"/>
        </w:rPr>
        <w:t xml:space="preserve"> bloody vision of the Hannibalic wars may suggest that Marlowe considered Elizabeth to be unnecessarily dragging England into conflict on the continent</w:t>
      </w:r>
      <w:r w:rsidR="00542E7D">
        <w:rPr>
          <w:rFonts w:ascii="Times New Roman" w:hAnsi="Times New Roman" w:cs="Times New Roman"/>
          <w:sz w:val="24"/>
        </w:rPr>
        <w:t>, although this would con</w:t>
      </w:r>
      <w:r w:rsidR="002C2F5D">
        <w:rPr>
          <w:rFonts w:ascii="Times New Roman" w:hAnsi="Times New Roman" w:cs="Times New Roman"/>
          <w:sz w:val="24"/>
        </w:rPr>
        <w:t>tradict</w:t>
      </w:r>
      <w:r w:rsidR="00542E7D">
        <w:rPr>
          <w:rFonts w:ascii="Times New Roman" w:hAnsi="Times New Roman" w:cs="Times New Roman"/>
          <w:sz w:val="24"/>
        </w:rPr>
        <w:t xml:space="preserve"> the</w:t>
      </w:r>
      <w:r w:rsidR="00E40ABF">
        <w:rPr>
          <w:rFonts w:ascii="Times New Roman" w:hAnsi="Times New Roman" w:cs="Times New Roman"/>
          <w:sz w:val="24"/>
        </w:rPr>
        <w:t xml:space="preserve"> pro-</w:t>
      </w:r>
      <w:r w:rsidR="00F853A7">
        <w:rPr>
          <w:rFonts w:ascii="Times New Roman" w:hAnsi="Times New Roman" w:cs="Times New Roman"/>
          <w:sz w:val="24"/>
        </w:rPr>
        <w:t>protestant intervention</w:t>
      </w:r>
      <w:r w:rsidR="00542E7D">
        <w:rPr>
          <w:rFonts w:ascii="Times New Roman" w:hAnsi="Times New Roman" w:cs="Times New Roman"/>
          <w:sz w:val="24"/>
        </w:rPr>
        <w:t xml:space="preserve"> message of his later play, </w:t>
      </w:r>
      <w:r w:rsidR="00E40ABF">
        <w:rPr>
          <w:rFonts w:ascii="Times New Roman" w:hAnsi="Times New Roman" w:cs="Times New Roman"/>
          <w:i/>
          <w:sz w:val="24"/>
        </w:rPr>
        <w:t>The Massacre at Paris</w:t>
      </w:r>
      <w:r w:rsidR="00C76E97">
        <w:rPr>
          <w:rFonts w:ascii="Times New Roman" w:hAnsi="Times New Roman" w:cs="Times New Roman"/>
          <w:i/>
          <w:sz w:val="24"/>
        </w:rPr>
        <w:t xml:space="preserve"> </w:t>
      </w:r>
      <w:r w:rsidR="00C76E97">
        <w:rPr>
          <w:rFonts w:ascii="Times New Roman" w:hAnsi="Times New Roman" w:cs="Times New Roman"/>
          <w:sz w:val="24"/>
        </w:rPr>
        <w:t>(c. 1593)</w:t>
      </w:r>
      <w:r w:rsidR="00465295" w:rsidRPr="00465295">
        <w:rPr>
          <w:rFonts w:ascii="Times New Roman" w:hAnsi="Times New Roman" w:cs="Times New Roman"/>
          <w:sz w:val="24"/>
        </w:rPr>
        <w:t>.</w:t>
      </w:r>
      <w:r w:rsidR="00E40ABF">
        <w:rPr>
          <w:rStyle w:val="FootnoteReference"/>
          <w:rFonts w:ascii="Times New Roman" w:hAnsi="Times New Roman" w:cs="Times New Roman"/>
          <w:sz w:val="24"/>
        </w:rPr>
        <w:footnoteReference w:id="93"/>
      </w:r>
      <w:r w:rsidR="00465295" w:rsidRPr="00465295">
        <w:rPr>
          <w:rFonts w:ascii="Times New Roman" w:hAnsi="Times New Roman" w:cs="Times New Roman"/>
          <w:sz w:val="24"/>
        </w:rPr>
        <w:t xml:space="preserve"> However, all political motives must remain speculati</w:t>
      </w:r>
      <w:r w:rsidR="00C517BF">
        <w:rPr>
          <w:rFonts w:ascii="Times New Roman" w:hAnsi="Times New Roman" w:cs="Times New Roman"/>
          <w:sz w:val="24"/>
        </w:rPr>
        <w:t>ve</w:t>
      </w:r>
      <w:r w:rsidR="00465295" w:rsidRPr="00465295">
        <w:rPr>
          <w:rFonts w:ascii="Times New Roman" w:hAnsi="Times New Roman" w:cs="Times New Roman"/>
          <w:sz w:val="24"/>
        </w:rPr>
        <w:t>,</w:t>
      </w:r>
      <w:r w:rsidR="00C517BF">
        <w:rPr>
          <w:rFonts w:ascii="Times New Roman" w:hAnsi="Times New Roman" w:cs="Times New Roman"/>
          <w:sz w:val="24"/>
        </w:rPr>
        <w:t xml:space="preserve"> </w:t>
      </w:r>
      <w:r w:rsidR="00465295" w:rsidRPr="00465295">
        <w:rPr>
          <w:rFonts w:ascii="Times New Roman" w:hAnsi="Times New Roman" w:cs="Times New Roman"/>
          <w:sz w:val="24"/>
        </w:rPr>
        <w:t>because so much of Marlowe’s life</w:t>
      </w:r>
      <w:r w:rsidR="00F02E90">
        <w:rPr>
          <w:rFonts w:ascii="Times New Roman" w:hAnsi="Times New Roman" w:cs="Times New Roman"/>
          <w:sz w:val="24"/>
        </w:rPr>
        <w:t xml:space="preserve"> </w:t>
      </w:r>
      <w:r w:rsidR="00465295" w:rsidRPr="00465295">
        <w:rPr>
          <w:rFonts w:ascii="Times New Roman" w:hAnsi="Times New Roman" w:cs="Times New Roman"/>
          <w:sz w:val="24"/>
        </w:rPr>
        <w:t>is either unknown or disputed</w:t>
      </w:r>
      <w:r w:rsidR="00F02E90">
        <w:rPr>
          <w:rFonts w:ascii="Times New Roman" w:hAnsi="Times New Roman" w:cs="Times New Roman"/>
          <w:sz w:val="24"/>
        </w:rPr>
        <w:t xml:space="preserve">, especially during </w:t>
      </w:r>
      <w:r w:rsidR="009512F9">
        <w:rPr>
          <w:rFonts w:ascii="Times New Roman" w:hAnsi="Times New Roman" w:cs="Times New Roman"/>
          <w:sz w:val="24"/>
        </w:rPr>
        <w:t>his university days</w:t>
      </w:r>
      <w:r w:rsidR="008E4E80">
        <w:rPr>
          <w:rFonts w:ascii="Times New Roman" w:hAnsi="Times New Roman" w:cs="Times New Roman"/>
          <w:sz w:val="24"/>
        </w:rPr>
        <w:t xml:space="preserve"> when </w:t>
      </w:r>
      <w:r w:rsidR="008E4E80">
        <w:rPr>
          <w:rFonts w:ascii="Times New Roman" w:hAnsi="Times New Roman" w:cs="Times New Roman"/>
          <w:i/>
          <w:sz w:val="24"/>
        </w:rPr>
        <w:t>Dido</w:t>
      </w:r>
      <w:r w:rsidR="008E4E80">
        <w:rPr>
          <w:rFonts w:ascii="Times New Roman" w:hAnsi="Times New Roman" w:cs="Times New Roman"/>
          <w:sz w:val="24"/>
        </w:rPr>
        <w:t xml:space="preserve"> was written</w:t>
      </w:r>
      <w:r w:rsidR="009512F9">
        <w:rPr>
          <w:rFonts w:ascii="Times New Roman" w:hAnsi="Times New Roman" w:cs="Times New Roman"/>
          <w:sz w:val="24"/>
        </w:rPr>
        <w:t>.</w:t>
      </w:r>
      <w:r w:rsidR="009512F9">
        <w:rPr>
          <w:rStyle w:val="FootnoteReference"/>
          <w:rFonts w:ascii="Times New Roman" w:hAnsi="Times New Roman" w:cs="Times New Roman"/>
          <w:sz w:val="24"/>
        </w:rPr>
        <w:footnoteReference w:id="94"/>
      </w:r>
    </w:p>
    <w:p w14:paraId="21ADD8CD" w14:textId="418BB533" w:rsidR="0064686A" w:rsidRDefault="006B5EBF" w:rsidP="002D58FB">
      <w:pPr>
        <w:spacing w:line="240" w:lineRule="auto"/>
        <w:jc w:val="both"/>
        <w:rPr>
          <w:rFonts w:ascii="Times New Roman" w:hAnsi="Times New Roman" w:cs="Times New Roman"/>
          <w:sz w:val="24"/>
        </w:rPr>
      </w:pPr>
      <w:r>
        <w:rPr>
          <w:rFonts w:ascii="Times New Roman" w:hAnsi="Times New Roman" w:cs="Times New Roman"/>
          <w:sz w:val="24"/>
        </w:rPr>
        <w:t xml:space="preserve">The idea that male virtue is inherently political is also </w:t>
      </w:r>
      <w:r w:rsidR="00483586">
        <w:rPr>
          <w:rFonts w:ascii="Times New Roman" w:hAnsi="Times New Roman" w:cs="Times New Roman"/>
          <w:sz w:val="24"/>
        </w:rPr>
        <w:t>voiced</w:t>
      </w:r>
      <w:r w:rsidR="0064686A">
        <w:rPr>
          <w:rFonts w:ascii="Times New Roman" w:hAnsi="Times New Roman" w:cs="Times New Roman"/>
          <w:sz w:val="24"/>
        </w:rPr>
        <w:t xml:space="preserve"> </w:t>
      </w:r>
      <w:r>
        <w:rPr>
          <w:rFonts w:ascii="Times New Roman" w:hAnsi="Times New Roman" w:cs="Times New Roman"/>
          <w:sz w:val="24"/>
        </w:rPr>
        <w:t>i</w:t>
      </w:r>
      <w:r w:rsidR="0064686A">
        <w:rPr>
          <w:rFonts w:ascii="Times New Roman" w:hAnsi="Times New Roman" w:cs="Times New Roman"/>
          <w:sz w:val="24"/>
        </w:rPr>
        <w:t xml:space="preserve">n </w:t>
      </w:r>
      <w:r w:rsidR="0064686A">
        <w:rPr>
          <w:rFonts w:ascii="Times New Roman" w:hAnsi="Times New Roman" w:cs="Times New Roman"/>
          <w:i/>
          <w:sz w:val="24"/>
        </w:rPr>
        <w:t>Antonius</w:t>
      </w:r>
      <w:r>
        <w:rPr>
          <w:rFonts w:ascii="Times New Roman" w:hAnsi="Times New Roman" w:cs="Times New Roman"/>
          <w:sz w:val="24"/>
        </w:rPr>
        <w:t xml:space="preserve"> when</w:t>
      </w:r>
      <w:r w:rsidR="0064686A">
        <w:rPr>
          <w:rFonts w:ascii="Times New Roman" w:hAnsi="Times New Roman" w:cs="Times New Roman"/>
          <w:sz w:val="24"/>
        </w:rPr>
        <w:t xml:space="preserve"> Antony highlights th</w:t>
      </w:r>
      <w:r w:rsidR="00953F4D">
        <w:rPr>
          <w:rFonts w:ascii="Times New Roman" w:hAnsi="Times New Roman" w:cs="Times New Roman"/>
          <w:sz w:val="24"/>
        </w:rPr>
        <w:t xml:space="preserve">e expectation that male virtue </w:t>
      </w:r>
      <w:proofErr w:type="gramStart"/>
      <w:r w:rsidR="00953F4D">
        <w:rPr>
          <w:rFonts w:ascii="Times New Roman" w:hAnsi="Times New Roman" w:cs="Times New Roman"/>
          <w:sz w:val="24"/>
        </w:rPr>
        <w:t>is located in</w:t>
      </w:r>
      <w:proofErr w:type="gramEnd"/>
      <w:r w:rsidR="00953F4D">
        <w:rPr>
          <w:rFonts w:ascii="Times New Roman" w:hAnsi="Times New Roman" w:cs="Times New Roman"/>
          <w:sz w:val="24"/>
        </w:rPr>
        <w:t xml:space="preserve"> political success:</w:t>
      </w:r>
    </w:p>
    <w:p w14:paraId="48029512" w14:textId="0C04D900" w:rsidR="007A6207" w:rsidRDefault="007A6207" w:rsidP="002D58FB">
      <w:pPr>
        <w:spacing w:line="240" w:lineRule="auto"/>
        <w:ind w:left="720"/>
        <w:jc w:val="both"/>
        <w:rPr>
          <w:rFonts w:ascii="Times New Roman" w:hAnsi="Times New Roman" w:cs="Times New Roman"/>
          <w:sz w:val="24"/>
        </w:rPr>
      </w:pPr>
      <w:r>
        <w:rPr>
          <w:rFonts w:ascii="Times New Roman" w:hAnsi="Times New Roman" w:cs="Times New Roman"/>
          <w:sz w:val="24"/>
        </w:rPr>
        <w:t>Sooner will men permit another should</w:t>
      </w:r>
    </w:p>
    <w:p w14:paraId="52811B6D" w14:textId="5E210115" w:rsidR="007A6207" w:rsidRDefault="007A6207"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Love her they love, </w:t>
      </w:r>
      <w:proofErr w:type="gramStart"/>
      <w:r>
        <w:rPr>
          <w:rFonts w:ascii="Times New Roman" w:hAnsi="Times New Roman" w:cs="Times New Roman"/>
          <w:sz w:val="24"/>
        </w:rPr>
        <w:t>than</w:t>
      </w:r>
      <w:proofErr w:type="gramEnd"/>
      <w:r>
        <w:rPr>
          <w:rFonts w:ascii="Times New Roman" w:hAnsi="Times New Roman" w:cs="Times New Roman"/>
          <w:sz w:val="24"/>
        </w:rPr>
        <w:t xml:space="preserve"> wear the crown they wear.</w:t>
      </w:r>
      <w:r>
        <w:rPr>
          <w:rStyle w:val="FootnoteReference"/>
          <w:rFonts w:ascii="Times New Roman" w:hAnsi="Times New Roman" w:cs="Times New Roman"/>
          <w:sz w:val="24"/>
        </w:rPr>
        <w:footnoteReference w:id="95"/>
      </w:r>
    </w:p>
    <w:p w14:paraId="5D249349" w14:textId="11275BE9" w:rsidR="007A6207" w:rsidRDefault="007A6207" w:rsidP="002D58FB">
      <w:pPr>
        <w:spacing w:line="240" w:lineRule="auto"/>
        <w:jc w:val="both"/>
        <w:rPr>
          <w:rFonts w:ascii="Times New Roman" w:hAnsi="Times New Roman" w:cs="Times New Roman"/>
          <w:sz w:val="24"/>
        </w:rPr>
      </w:pPr>
      <w:r>
        <w:rPr>
          <w:rFonts w:ascii="Times New Roman" w:hAnsi="Times New Roman" w:cs="Times New Roman"/>
          <w:sz w:val="24"/>
        </w:rPr>
        <w:t>This contrast</w:t>
      </w:r>
      <w:r w:rsidR="00285052">
        <w:rPr>
          <w:rFonts w:ascii="Times New Roman" w:hAnsi="Times New Roman" w:cs="Times New Roman"/>
          <w:sz w:val="24"/>
        </w:rPr>
        <w:t>s</w:t>
      </w:r>
      <w:r w:rsidR="002F6957">
        <w:rPr>
          <w:rFonts w:ascii="Times New Roman" w:hAnsi="Times New Roman" w:cs="Times New Roman"/>
          <w:sz w:val="24"/>
        </w:rPr>
        <w:t xml:space="preserve"> starkly</w:t>
      </w:r>
      <w:r>
        <w:rPr>
          <w:rFonts w:ascii="Times New Roman" w:hAnsi="Times New Roman" w:cs="Times New Roman"/>
          <w:sz w:val="24"/>
        </w:rPr>
        <w:t xml:space="preserve"> </w:t>
      </w:r>
      <w:r w:rsidR="002F6957">
        <w:rPr>
          <w:rFonts w:ascii="Times New Roman" w:hAnsi="Times New Roman" w:cs="Times New Roman"/>
          <w:sz w:val="24"/>
        </w:rPr>
        <w:t>with</w:t>
      </w:r>
      <w:r>
        <w:rPr>
          <w:rFonts w:ascii="Times New Roman" w:hAnsi="Times New Roman" w:cs="Times New Roman"/>
          <w:sz w:val="24"/>
        </w:rPr>
        <w:t xml:space="preserve"> Cleopatra’s</w:t>
      </w:r>
      <w:r w:rsidR="00E04464">
        <w:rPr>
          <w:rFonts w:ascii="Times New Roman" w:hAnsi="Times New Roman" w:cs="Times New Roman"/>
          <w:sz w:val="24"/>
        </w:rPr>
        <w:t xml:space="preserve"> refusal to betray </w:t>
      </w:r>
      <w:r w:rsidR="005E17C8">
        <w:rPr>
          <w:rFonts w:ascii="Times New Roman" w:hAnsi="Times New Roman" w:cs="Times New Roman"/>
          <w:sz w:val="24"/>
        </w:rPr>
        <w:t>Antony</w:t>
      </w:r>
      <w:r w:rsidR="00E04464">
        <w:rPr>
          <w:rFonts w:ascii="Times New Roman" w:hAnsi="Times New Roman" w:cs="Times New Roman"/>
          <w:sz w:val="24"/>
        </w:rPr>
        <w:t xml:space="preserve"> to save </w:t>
      </w:r>
      <w:r w:rsidR="005E17C8">
        <w:rPr>
          <w:rFonts w:ascii="Times New Roman" w:hAnsi="Times New Roman" w:cs="Times New Roman"/>
          <w:sz w:val="24"/>
        </w:rPr>
        <w:t>her crown</w:t>
      </w:r>
      <w:r>
        <w:rPr>
          <w:rFonts w:ascii="Times New Roman" w:hAnsi="Times New Roman" w:cs="Times New Roman"/>
          <w:sz w:val="24"/>
        </w:rPr>
        <w:t xml:space="preserve"> in the previous scene. On top of this, Antony’s continued criticism of love and luxury is framed around </w:t>
      </w:r>
      <w:r w:rsidR="00122A4B">
        <w:rPr>
          <w:rFonts w:ascii="Times New Roman" w:hAnsi="Times New Roman" w:cs="Times New Roman"/>
          <w:sz w:val="24"/>
        </w:rPr>
        <w:t>the f</w:t>
      </w:r>
      <w:r>
        <w:rPr>
          <w:rFonts w:ascii="Times New Roman" w:hAnsi="Times New Roman" w:cs="Times New Roman"/>
          <w:sz w:val="24"/>
        </w:rPr>
        <w:t>eminisation of his manly valour.</w:t>
      </w:r>
      <w:r>
        <w:rPr>
          <w:rStyle w:val="FootnoteReference"/>
          <w:rFonts w:ascii="Times New Roman" w:hAnsi="Times New Roman" w:cs="Times New Roman"/>
          <w:sz w:val="24"/>
        </w:rPr>
        <w:footnoteReference w:id="96"/>
      </w:r>
      <w:r>
        <w:rPr>
          <w:rFonts w:ascii="Times New Roman" w:hAnsi="Times New Roman" w:cs="Times New Roman"/>
          <w:sz w:val="24"/>
        </w:rPr>
        <w:t xml:space="preserve"> </w:t>
      </w:r>
      <w:r w:rsidR="00122A4B">
        <w:rPr>
          <w:rFonts w:ascii="Times New Roman" w:hAnsi="Times New Roman" w:cs="Times New Roman"/>
          <w:sz w:val="24"/>
        </w:rPr>
        <w:t>He has become ‘a slave unto her feeble face’, his ‘virtue dead’ and his ‘martial deeds…gone in smoke’ yielding instead ‘to Venus’ myrtles.’</w:t>
      </w:r>
      <w:r w:rsidR="00122A4B">
        <w:rPr>
          <w:rStyle w:val="FootnoteReference"/>
          <w:rFonts w:ascii="Times New Roman" w:hAnsi="Times New Roman" w:cs="Times New Roman"/>
          <w:sz w:val="24"/>
        </w:rPr>
        <w:footnoteReference w:id="97"/>
      </w:r>
      <w:r w:rsidR="00122A4B">
        <w:rPr>
          <w:rFonts w:ascii="Times New Roman" w:hAnsi="Times New Roman" w:cs="Times New Roman"/>
          <w:sz w:val="24"/>
        </w:rPr>
        <w:t xml:space="preserve"> </w:t>
      </w:r>
      <w:r>
        <w:rPr>
          <w:rFonts w:ascii="Times New Roman" w:hAnsi="Times New Roman" w:cs="Times New Roman"/>
          <w:sz w:val="24"/>
        </w:rPr>
        <w:t xml:space="preserve">Men are thus envisioned in </w:t>
      </w:r>
      <w:r>
        <w:rPr>
          <w:rFonts w:ascii="Times New Roman" w:hAnsi="Times New Roman" w:cs="Times New Roman"/>
          <w:i/>
          <w:sz w:val="24"/>
        </w:rPr>
        <w:t>Antonius</w:t>
      </w:r>
      <w:r w:rsidR="00122A4B">
        <w:rPr>
          <w:rFonts w:ascii="Times New Roman" w:hAnsi="Times New Roman" w:cs="Times New Roman"/>
          <w:sz w:val="24"/>
        </w:rPr>
        <w:t xml:space="preserve"> as finding their virtue outside of love, in the public sphere of military or political achievement. </w:t>
      </w:r>
      <w:r w:rsidR="004C64E6">
        <w:rPr>
          <w:rFonts w:ascii="Times New Roman" w:hAnsi="Times New Roman" w:cs="Times New Roman"/>
          <w:sz w:val="24"/>
        </w:rPr>
        <w:t xml:space="preserve">If a man loses his public political and military virtue, this is then expressed in feminising terms. </w:t>
      </w:r>
      <w:r w:rsidR="00122A4B">
        <w:rPr>
          <w:rFonts w:ascii="Times New Roman" w:hAnsi="Times New Roman" w:cs="Times New Roman"/>
          <w:sz w:val="24"/>
        </w:rPr>
        <w:t>Women, in contrast, are expected to find virtue in the private sphere of their love for their husbands.</w:t>
      </w:r>
      <w:r w:rsidR="00E145E5">
        <w:rPr>
          <w:rFonts w:ascii="Times New Roman" w:hAnsi="Times New Roman" w:cs="Times New Roman"/>
          <w:sz w:val="24"/>
        </w:rPr>
        <w:t xml:space="preserve"> For women, this means there is an</w:t>
      </w:r>
      <w:r w:rsidR="00122A4B">
        <w:rPr>
          <w:rFonts w:ascii="Times New Roman" w:hAnsi="Times New Roman" w:cs="Times New Roman"/>
          <w:sz w:val="24"/>
        </w:rPr>
        <w:t xml:space="preserve"> incompatib</w:t>
      </w:r>
      <w:r w:rsidR="00AA5A08">
        <w:rPr>
          <w:rFonts w:ascii="Times New Roman" w:hAnsi="Times New Roman" w:cs="Times New Roman"/>
          <w:sz w:val="24"/>
        </w:rPr>
        <w:t>ility</w:t>
      </w:r>
      <w:r w:rsidR="00E145E5">
        <w:rPr>
          <w:rFonts w:ascii="Times New Roman" w:hAnsi="Times New Roman" w:cs="Times New Roman"/>
          <w:sz w:val="24"/>
        </w:rPr>
        <w:t xml:space="preserve"> of virtue</w:t>
      </w:r>
      <w:r w:rsidR="00122A4B">
        <w:rPr>
          <w:rFonts w:ascii="Times New Roman" w:hAnsi="Times New Roman" w:cs="Times New Roman"/>
          <w:sz w:val="24"/>
        </w:rPr>
        <w:t xml:space="preserve"> with ruling: </w:t>
      </w:r>
      <w:r w:rsidR="00483586">
        <w:rPr>
          <w:rFonts w:ascii="Times New Roman" w:hAnsi="Times New Roman" w:cs="Times New Roman"/>
          <w:sz w:val="24"/>
        </w:rPr>
        <w:t xml:space="preserve">Cleopatra and Dido’s traditionally virtuous love </w:t>
      </w:r>
      <w:r w:rsidR="00D70784">
        <w:rPr>
          <w:rFonts w:ascii="Times New Roman" w:hAnsi="Times New Roman" w:cs="Times New Roman"/>
          <w:sz w:val="24"/>
        </w:rPr>
        <w:t>holds back their political ability, eventually resulting in the destruction of both their kingdoms.</w:t>
      </w:r>
      <w:r w:rsidR="00122A4B">
        <w:rPr>
          <w:rFonts w:ascii="Times New Roman" w:hAnsi="Times New Roman" w:cs="Times New Roman"/>
          <w:sz w:val="24"/>
        </w:rPr>
        <w:t xml:space="preserve"> </w:t>
      </w:r>
    </w:p>
    <w:p w14:paraId="7882B6B6" w14:textId="4E9729AB" w:rsidR="00D70784" w:rsidRDefault="00122A4B" w:rsidP="002D58FB">
      <w:pPr>
        <w:spacing w:line="240" w:lineRule="auto"/>
        <w:jc w:val="both"/>
        <w:rPr>
          <w:rFonts w:ascii="Times New Roman" w:hAnsi="Times New Roman" w:cs="Times New Roman"/>
          <w:sz w:val="24"/>
        </w:rPr>
      </w:pPr>
      <w:r>
        <w:rPr>
          <w:rFonts w:ascii="Times New Roman" w:hAnsi="Times New Roman" w:cs="Times New Roman"/>
          <w:sz w:val="24"/>
        </w:rPr>
        <w:t xml:space="preserve">This contradiction in the demands placed upon women by political necessity and private virtue can be seen to exercise its influence </w:t>
      </w:r>
      <w:r w:rsidR="00B116EE">
        <w:rPr>
          <w:rFonts w:ascii="Times New Roman" w:hAnsi="Times New Roman" w:cs="Times New Roman"/>
          <w:sz w:val="24"/>
        </w:rPr>
        <w:t xml:space="preserve">even </w:t>
      </w:r>
      <w:r>
        <w:rPr>
          <w:rFonts w:ascii="Times New Roman" w:hAnsi="Times New Roman" w:cs="Times New Roman"/>
          <w:sz w:val="24"/>
        </w:rPr>
        <w:t>over a virtuous woman like Octavia.</w:t>
      </w:r>
      <w:r w:rsidR="00BF11C8">
        <w:rPr>
          <w:rFonts w:ascii="Times New Roman" w:hAnsi="Times New Roman" w:cs="Times New Roman"/>
          <w:sz w:val="24"/>
        </w:rPr>
        <w:t xml:space="preserve"> Octavia is not a ruler, but she gets deeply entangled within politics through her role as a mediator between Antony and Octavian. In</w:t>
      </w:r>
      <w:r w:rsidR="00D8189C">
        <w:rPr>
          <w:rFonts w:ascii="Times New Roman" w:hAnsi="Times New Roman" w:cs="Times New Roman"/>
          <w:sz w:val="24"/>
        </w:rPr>
        <w:t xml:space="preserve"> Brandon’s</w:t>
      </w:r>
      <w:r w:rsidR="00BF11C8">
        <w:rPr>
          <w:rFonts w:ascii="Times New Roman" w:hAnsi="Times New Roman" w:cs="Times New Roman"/>
          <w:sz w:val="24"/>
        </w:rPr>
        <w:t xml:space="preserve"> </w:t>
      </w:r>
      <w:r w:rsidR="00BF11C8">
        <w:rPr>
          <w:rFonts w:ascii="Times New Roman" w:hAnsi="Times New Roman" w:cs="Times New Roman"/>
          <w:i/>
          <w:sz w:val="24"/>
        </w:rPr>
        <w:t>The Virtuous Octavia</w:t>
      </w:r>
      <w:r w:rsidR="00BF11C8">
        <w:rPr>
          <w:rFonts w:ascii="Times New Roman" w:hAnsi="Times New Roman" w:cs="Times New Roman"/>
          <w:sz w:val="24"/>
        </w:rPr>
        <w:t xml:space="preserve">, Octavia’s constancy to Antony is praised as virtuous, but is also shown to lack political guile. Octavia attempts to prevent Octavian from declaring war on Antony in retribution for his faithlessness to </w:t>
      </w:r>
      <w:r w:rsidR="00F05F51">
        <w:rPr>
          <w:rFonts w:ascii="Times New Roman" w:hAnsi="Times New Roman" w:cs="Times New Roman"/>
          <w:sz w:val="24"/>
        </w:rPr>
        <w:t>her</w:t>
      </w:r>
      <w:r w:rsidR="00C77B18">
        <w:rPr>
          <w:rFonts w:ascii="Times New Roman" w:hAnsi="Times New Roman" w:cs="Times New Roman"/>
          <w:sz w:val="24"/>
        </w:rPr>
        <w:t>,</w:t>
      </w:r>
      <w:r w:rsidR="00BF11C8">
        <w:rPr>
          <w:rFonts w:ascii="Times New Roman" w:hAnsi="Times New Roman" w:cs="Times New Roman"/>
          <w:sz w:val="24"/>
        </w:rPr>
        <w:t xml:space="preserve"> attack</w:t>
      </w:r>
      <w:r w:rsidR="00C77B18">
        <w:rPr>
          <w:rFonts w:ascii="Times New Roman" w:hAnsi="Times New Roman" w:cs="Times New Roman"/>
          <w:sz w:val="24"/>
        </w:rPr>
        <w:t>ing</w:t>
      </w:r>
      <w:r w:rsidR="00BF11C8">
        <w:rPr>
          <w:rFonts w:ascii="Times New Roman" w:hAnsi="Times New Roman" w:cs="Times New Roman"/>
          <w:sz w:val="24"/>
        </w:rPr>
        <w:t xml:space="preserve"> </w:t>
      </w:r>
      <w:r w:rsidR="00F05F51">
        <w:rPr>
          <w:rFonts w:ascii="Times New Roman" w:hAnsi="Times New Roman" w:cs="Times New Roman"/>
          <w:sz w:val="24"/>
        </w:rPr>
        <w:t>Octavian</w:t>
      </w:r>
      <w:r w:rsidR="00BF11C8">
        <w:rPr>
          <w:rFonts w:ascii="Times New Roman" w:hAnsi="Times New Roman" w:cs="Times New Roman"/>
          <w:sz w:val="24"/>
        </w:rPr>
        <w:t>’s criticisms of Antony as based upon ‘</w:t>
      </w:r>
      <w:proofErr w:type="spellStart"/>
      <w:r w:rsidR="00BF11C8">
        <w:rPr>
          <w:rFonts w:ascii="Times New Roman" w:hAnsi="Times New Roman" w:cs="Times New Roman"/>
          <w:sz w:val="24"/>
        </w:rPr>
        <w:t>foule</w:t>
      </w:r>
      <w:proofErr w:type="spellEnd"/>
      <w:r w:rsidR="00BF11C8">
        <w:rPr>
          <w:rFonts w:ascii="Times New Roman" w:hAnsi="Times New Roman" w:cs="Times New Roman"/>
          <w:sz w:val="24"/>
        </w:rPr>
        <w:t xml:space="preserve"> </w:t>
      </w:r>
      <w:proofErr w:type="spellStart"/>
      <w:r w:rsidR="00BF11C8">
        <w:rPr>
          <w:rFonts w:ascii="Times New Roman" w:hAnsi="Times New Roman" w:cs="Times New Roman"/>
          <w:sz w:val="24"/>
        </w:rPr>
        <w:t>suspition</w:t>
      </w:r>
      <w:proofErr w:type="spellEnd"/>
      <w:r w:rsidR="00BF11C8">
        <w:rPr>
          <w:rFonts w:ascii="Times New Roman" w:hAnsi="Times New Roman" w:cs="Times New Roman"/>
          <w:sz w:val="24"/>
        </w:rPr>
        <w:t>’ and ‘false report’</w:t>
      </w:r>
      <w:r w:rsidR="00C77B18">
        <w:rPr>
          <w:rFonts w:ascii="Times New Roman" w:hAnsi="Times New Roman" w:cs="Times New Roman"/>
          <w:sz w:val="24"/>
        </w:rPr>
        <w:t xml:space="preserve"> and</w:t>
      </w:r>
      <w:r w:rsidR="00DC2DC5">
        <w:rPr>
          <w:rFonts w:ascii="Times New Roman" w:hAnsi="Times New Roman" w:cs="Times New Roman"/>
          <w:sz w:val="24"/>
        </w:rPr>
        <w:t xml:space="preserve"> accusing </w:t>
      </w:r>
      <w:r w:rsidR="00F05F51">
        <w:rPr>
          <w:rFonts w:ascii="Times New Roman" w:hAnsi="Times New Roman" w:cs="Times New Roman"/>
          <w:sz w:val="24"/>
        </w:rPr>
        <w:t>Octavian</w:t>
      </w:r>
      <w:r w:rsidR="00DC2DC5">
        <w:rPr>
          <w:rFonts w:ascii="Times New Roman" w:hAnsi="Times New Roman" w:cs="Times New Roman"/>
          <w:sz w:val="24"/>
        </w:rPr>
        <w:t xml:space="preserve"> of wanting to attack Antony for his own honour, not due to Antony’s fault.</w:t>
      </w:r>
      <w:r w:rsidR="00DC2DC5">
        <w:rPr>
          <w:rStyle w:val="FootnoteReference"/>
          <w:rFonts w:ascii="Times New Roman" w:hAnsi="Times New Roman" w:cs="Times New Roman"/>
          <w:sz w:val="24"/>
        </w:rPr>
        <w:footnoteReference w:id="98"/>
      </w:r>
      <w:r w:rsidR="00B85ACB">
        <w:rPr>
          <w:rFonts w:ascii="Times New Roman" w:hAnsi="Times New Roman" w:cs="Times New Roman"/>
          <w:sz w:val="24"/>
        </w:rPr>
        <w:t xml:space="preserve"> </w:t>
      </w:r>
      <w:r w:rsidR="00DC2DC5">
        <w:rPr>
          <w:rFonts w:ascii="Times New Roman" w:hAnsi="Times New Roman" w:cs="Times New Roman"/>
          <w:sz w:val="24"/>
        </w:rPr>
        <w:t>Octavian, however, rejects Octavia’s pleas, saying that princes must be just, though he praises Octavia for her virtuous constancy to Antony.</w:t>
      </w:r>
      <w:r w:rsidR="00DC2DC5">
        <w:rPr>
          <w:rStyle w:val="FootnoteReference"/>
          <w:rFonts w:ascii="Times New Roman" w:hAnsi="Times New Roman" w:cs="Times New Roman"/>
          <w:sz w:val="24"/>
        </w:rPr>
        <w:footnoteReference w:id="99"/>
      </w:r>
      <w:r w:rsidR="00DC2DC5">
        <w:rPr>
          <w:rFonts w:ascii="Times New Roman" w:hAnsi="Times New Roman" w:cs="Times New Roman"/>
          <w:sz w:val="24"/>
        </w:rPr>
        <w:t xml:space="preserve"> Although </w:t>
      </w:r>
      <w:r w:rsidR="00695136">
        <w:rPr>
          <w:rFonts w:ascii="Times New Roman" w:hAnsi="Times New Roman" w:cs="Times New Roman"/>
          <w:sz w:val="24"/>
        </w:rPr>
        <w:t>the audience is</w:t>
      </w:r>
      <w:r w:rsidR="00DC2DC5">
        <w:rPr>
          <w:rFonts w:ascii="Times New Roman" w:hAnsi="Times New Roman" w:cs="Times New Roman"/>
          <w:sz w:val="24"/>
        </w:rPr>
        <w:t xml:space="preserve"> not at this stage certain as to whether Octavian is being honest about his demands for justice, it </w:t>
      </w:r>
      <w:r w:rsidR="0056707E">
        <w:rPr>
          <w:rFonts w:ascii="Times New Roman" w:hAnsi="Times New Roman" w:cs="Times New Roman"/>
          <w:sz w:val="24"/>
        </w:rPr>
        <w:t>later</w:t>
      </w:r>
      <w:r w:rsidR="00DC2DC5">
        <w:rPr>
          <w:rFonts w:ascii="Times New Roman" w:hAnsi="Times New Roman" w:cs="Times New Roman"/>
          <w:sz w:val="24"/>
        </w:rPr>
        <w:t xml:space="preserve"> emerges that he </w:t>
      </w:r>
      <w:r w:rsidR="00DC2DC5" w:rsidRPr="00DC2DC5">
        <w:rPr>
          <w:rFonts w:ascii="Times New Roman" w:hAnsi="Times New Roman" w:cs="Times New Roman"/>
          <w:i/>
          <w:sz w:val="24"/>
        </w:rPr>
        <w:t>is</w:t>
      </w:r>
      <w:r w:rsidR="00DC2DC5">
        <w:rPr>
          <w:rFonts w:ascii="Times New Roman" w:hAnsi="Times New Roman" w:cs="Times New Roman"/>
          <w:i/>
          <w:sz w:val="24"/>
        </w:rPr>
        <w:t xml:space="preserve"> </w:t>
      </w:r>
      <w:r w:rsidR="00DC2DC5">
        <w:rPr>
          <w:rFonts w:ascii="Times New Roman" w:hAnsi="Times New Roman" w:cs="Times New Roman"/>
          <w:sz w:val="24"/>
        </w:rPr>
        <w:t>being just, as he reveals that Antony has order</w:t>
      </w:r>
      <w:r w:rsidR="00610507">
        <w:rPr>
          <w:rFonts w:ascii="Times New Roman" w:hAnsi="Times New Roman" w:cs="Times New Roman"/>
          <w:sz w:val="24"/>
        </w:rPr>
        <w:t>ed</w:t>
      </w:r>
      <w:r w:rsidR="00DC2DC5">
        <w:rPr>
          <w:rFonts w:ascii="Times New Roman" w:hAnsi="Times New Roman" w:cs="Times New Roman"/>
          <w:sz w:val="24"/>
        </w:rPr>
        <w:t xml:space="preserve"> Octavia to leave his house and all but declar</w:t>
      </w:r>
      <w:r w:rsidR="00610507">
        <w:rPr>
          <w:rFonts w:ascii="Times New Roman" w:hAnsi="Times New Roman" w:cs="Times New Roman"/>
          <w:sz w:val="24"/>
        </w:rPr>
        <w:t>ed</w:t>
      </w:r>
      <w:r w:rsidR="00DC2DC5">
        <w:rPr>
          <w:rFonts w:ascii="Times New Roman" w:hAnsi="Times New Roman" w:cs="Times New Roman"/>
          <w:sz w:val="24"/>
        </w:rPr>
        <w:t xml:space="preserve"> war on Octavian.</w:t>
      </w:r>
      <w:r w:rsidR="00DC2DC5">
        <w:rPr>
          <w:rStyle w:val="FootnoteReference"/>
          <w:rFonts w:ascii="Times New Roman" w:hAnsi="Times New Roman" w:cs="Times New Roman"/>
          <w:sz w:val="24"/>
        </w:rPr>
        <w:footnoteReference w:id="100"/>
      </w:r>
      <w:r w:rsidR="000A3F7A">
        <w:rPr>
          <w:rFonts w:ascii="Times New Roman" w:hAnsi="Times New Roman" w:cs="Times New Roman"/>
          <w:sz w:val="24"/>
        </w:rPr>
        <w:t xml:space="preserve"> Following this, even Octavia agrees that </w:t>
      </w:r>
      <w:r w:rsidR="00193F33">
        <w:rPr>
          <w:rFonts w:ascii="Times New Roman" w:hAnsi="Times New Roman" w:cs="Times New Roman"/>
          <w:sz w:val="24"/>
        </w:rPr>
        <w:t>wa</w:t>
      </w:r>
      <w:r w:rsidR="00CA0807">
        <w:rPr>
          <w:rFonts w:ascii="Times New Roman" w:hAnsi="Times New Roman" w:cs="Times New Roman"/>
          <w:sz w:val="24"/>
        </w:rPr>
        <w:t>r</w:t>
      </w:r>
      <w:r w:rsidR="00193F33">
        <w:rPr>
          <w:rFonts w:ascii="Times New Roman" w:hAnsi="Times New Roman" w:cs="Times New Roman"/>
          <w:sz w:val="24"/>
        </w:rPr>
        <w:t xml:space="preserve"> is inevitable</w:t>
      </w:r>
      <w:r w:rsidR="000A3F7A">
        <w:rPr>
          <w:rFonts w:ascii="Times New Roman" w:hAnsi="Times New Roman" w:cs="Times New Roman"/>
          <w:sz w:val="24"/>
        </w:rPr>
        <w:t xml:space="preserve"> ‘</w:t>
      </w:r>
      <w:proofErr w:type="spellStart"/>
      <w:r w:rsidR="000A3F7A">
        <w:rPr>
          <w:rFonts w:ascii="Times New Roman" w:hAnsi="Times New Roman" w:cs="Times New Roman"/>
          <w:sz w:val="24"/>
        </w:rPr>
        <w:t>sith</w:t>
      </w:r>
      <w:proofErr w:type="spellEnd"/>
      <w:r w:rsidR="000A3F7A">
        <w:rPr>
          <w:rFonts w:ascii="Times New Roman" w:hAnsi="Times New Roman" w:cs="Times New Roman"/>
          <w:sz w:val="24"/>
        </w:rPr>
        <w:t xml:space="preserve"> no wit can Antony </w:t>
      </w:r>
      <w:proofErr w:type="spellStart"/>
      <w:r w:rsidR="000A3F7A">
        <w:rPr>
          <w:rFonts w:ascii="Times New Roman" w:hAnsi="Times New Roman" w:cs="Times New Roman"/>
          <w:sz w:val="24"/>
        </w:rPr>
        <w:t>reforme</w:t>
      </w:r>
      <w:proofErr w:type="spellEnd"/>
      <w:r w:rsidR="000A3F7A">
        <w:rPr>
          <w:rFonts w:ascii="Times New Roman" w:hAnsi="Times New Roman" w:cs="Times New Roman"/>
          <w:sz w:val="24"/>
        </w:rPr>
        <w:t>.’</w:t>
      </w:r>
      <w:r w:rsidR="000A3F7A">
        <w:rPr>
          <w:rStyle w:val="FootnoteReference"/>
          <w:rFonts w:ascii="Times New Roman" w:hAnsi="Times New Roman" w:cs="Times New Roman"/>
          <w:sz w:val="24"/>
        </w:rPr>
        <w:footnoteReference w:id="101"/>
      </w:r>
      <w:r w:rsidR="000A3F7A">
        <w:rPr>
          <w:rFonts w:ascii="Times New Roman" w:hAnsi="Times New Roman" w:cs="Times New Roman"/>
          <w:sz w:val="24"/>
        </w:rPr>
        <w:t xml:space="preserve"> The impression </w:t>
      </w:r>
      <w:r w:rsidR="005B4A64">
        <w:rPr>
          <w:rFonts w:ascii="Times New Roman" w:hAnsi="Times New Roman" w:cs="Times New Roman"/>
          <w:sz w:val="24"/>
        </w:rPr>
        <w:t>given</w:t>
      </w:r>
      <w:r w:rsidR="000A3F7A">
        <w:rPr>
          <w:rFonts w:ascii="Times New Roman" w:hAnsi="Times New Roman" w:cs="Times New Roman"/>
          <w:sz w:val="24"/>
        </w:rPr>
        <w:t xml:space="preserve"> is that Octavia was being a virtuous woman in pleading for Antony as a wife should, but that this </w:t>
      </w:r>
      <w:r w:rsidR="005E77D7">
        <w:rPr>
          <w:rFonts w:ascii="Times New Roman" w:hAnsi="Times New Roman" w:cs="Times New Roman"/>
          <w:sz w:val="24"/>
        </w:rPr>
        <w:t xml:space="preserve">placed too much personal faith in </w:t>
      </w:r>
      <w:r w:rsidR="005E77D7">
        <w:rPr>
          <w:rFonts w:ascii="Times New Roman" w:hAnsi="Times New Roman" w:cs="Times New Roman"/>
          <w:sz w:val="24"/>
        </w:rPr>
        <w:lastRenderedPageBreak/>
        <w:t>Antony</w:t>
      </w:r>
      <w:r w:rsidR="0056707E">
        <w:rPr>
          <w:rFonts w:ascii="Times New Roman" w:hAnsi="Times New Roman" w:cs="Times New Roman"/>
          <w:sz w:val="24"/>
        </w:rPr>
        <w:t xml:space="preserve"> that Octavian, looking at things from a political angle, was not blinded by</w:t>
      </w:r>
      <w:r w:rsidR="005E77D7">
        <w:rPr>
          <w:rFonts w:ascii="Times New Roman" w:hAnsi="Times New Roman" w:cs="Times New Roman"/>
          <w:sz w:val="24"/>
        </w:rPr>
        <w:t>.</w:t>
      </w:r>
      <w:r w:rsidR="00E6022D" w:rsidRPr="00E6022D">
        <w:rPr>
          <w:rFonts w:ascii="Times New Roman" w:hAnsi="Times New Roman" w:cs="Times New Roman"/>
          <w:sz w:val="24"/>
        </w:rPr>
        <w:t xml:space="preserve"> On the other hand, had Octavia agreed with Octavian and encouraged his war of revenge against Antony</w:t>
      </w:r>
      <w:r w:rsidR="00E6022D">
        <w:rPr>
          <w:rFonts w:ascii="Times New Roman" w:hAnsi="Times New Roman" w:cs="Times New Roman"/>
          <w:sz w:val="24"/>
        </w:rPr>
        <w:t xml:space="preserve"> straight away</w:t>
      </w:r>
      <w:r w:rsidR="00E6022D" w:rsidRPr="00E6022D">
        <w:rPr>
          <w:rFonts w:ascii="Times New Roman" w:hAnsi="Times New Roman" w:cs="Times New Roman"/>
          <w:sz w:val="24"/>
        </w:rPr>
        <w:t xml:space="preserve">, she would have been criticised for inconstancy. </w:t>
      </w:r>
      <w:r w:rsidR="00E6022D">
        <w:rPr>
          <w:rFonts w:ascii="Times New Roman" w:hAnsi="Times New Roman" w:cs="Times New Roman"/>
          <w:sz w:val="24"/>
        </w:rPr>
        <w:t>Therefore, although</w:t>
      </w:r>
      <w:r w:rsidR="005E77D7">
        <w:rPr>
          <w:rFonts w:ascii="Times New Roman" w:hAnsi="Times New Roman" w:cs="Times New Roman"/>
          <w:sz w:val="24"/>
        </w:rPr>
        <w:t xml:space="preserve"> Octavian turns out to have been </w:t>
      </w:r>
      <w:r w:rsidR="005E77D7" w:rsidRPr="005E77D7">
        <w:rPr>
          <w:rFonts w:ascii="Times New Roman" w:hAnsi="Times New Roman" w:cs="Times New Roman"/>
          <w:i/>
          <w:sz w:val="24"/>
        </w:rPr>
        <w:t xml:space="preserve">politically </w:t>
      </w:r>
      <w:r w:rsidR="005E77D7">
        <w:rPr>
          <w:rFonts w:ascii="Times New Roman" w:hAnsi="Times New Roman" w:cs="Times New Roman"/>
          <w:sz w:val="24"/>
        </w:rPr>
        <w:t xml:space="preserve">correct, Octavia is still praised for her </w:t>
      </w:r>
      <w:r w:rsidR="005E77D7">
        <w:rPr>
          <w:rFonts w:ascii="Times New Roman" w:hAnsi="Times New Roman" w:cs="Times New Roman"/>
          <w:i/>
          <w:sz w:val="24"/>
        </w:rPr>
        <w:t xml:space="preserve">private </w:t>
      </w:r>
      <w:r w:rsidR="00E6022D" w:rsidRPr="00E6022D">
        <w:rPr>
          <w:rFonts w:ascii="Times New Roman" w:hAnsi="Times New Roman" w:cs="Times New Roman"/>
          <w:sz w:val="24"/>
        </w:rPr>
        <w:t>virtue</w:t>
      </w:r>
      <w:r w:rsidR="005E77D7">
        <w:rPr>
          <w:rFonts w:ascii="Times New Roman" w:hAnsi="Times New Roman" w:cs="Times New Roman"/>
          <w:sz w:val="24"/>
        </w:rPr>
        <w:t>.</w:t>
      </w:r>
      <w:r w:rsidR="005F3CC1">
        <w:rPr>
          <w:rFonts w:ascii="Times New Roman" w:hAnsi="Times New Roman" w:cs="Times New Roman"/>
          <w:sz w:val="24"/>
        </w:rPr>
        <w:t xml:space="preserve"> Her virtuous side, therefore, is incompatible with being politically astute</w:t>
      </w:r>
      <w:r w:rsidR="000C65C5">
        <w:rPr>
          <w:rFonts w:ascii="Times New Roman" w:hAnsi="Times New Roman" w:cs="Times New Roman"/>
          <w:sz w:val="24"/>
        </w:rPr>
        <w:t>, in a similar way to Sidney’s Cleopatra</w:t>
      </w:r>
      <w:r w:rsidR="00610507">
        <w:rPr>
          <w:rFonts w:ascii="Times New Roman" w:hAnsi="Times New Roman" w:cs="Times New Roman"/>
          <w:sz w:val="24"/>
        </w:rPr>
        <w:t>.</w:t>
      </w:r>
    </w:p>
    <w:p w14:paraId="2B0EA8DC" w14:textId="05C86B7A" w:rsidR="00067854" w:rsidRDefault="00AF530F" w:rsidP="002D58FB">
      <w:pPr>
        <w:spacing w:line="240" w:lineRule="auto"/>
        <w:jc w:val="both"/>
        <w:rPr>
          <w:rFonts w:ascii="Times New Roman" w:hAnsi="Times New Roman" w:cs="Times New Roman"/>
          <w:sz w:val="24"/>
        </w:rPr>
      </w:pPr>
      <w:r>
        <w:rPr>
          <w:rFonts w:ascii="Times New Roman" w:hAnsi="Times New Roman" w:cs="Times New Roman"/>
          <w:sz w:val="24"/>
        </w:rPr>
        <w:t xml:space="preserve">On a political level, Brandon’s presentation of Octavia was probably self-consciously feeding into a wider discussion of female </w:t>
      </w:r>
      <w:r w:rsidR="00610507">
        <w:rPr>
          <w:rFonts w:ascii="Times New Roman" w:hAnsi="Times New Roman" w:cs="Times New Roman"/>
          <w:sz w:val="24"/>
        </w:rPr>
        <w:t>virtue</w:t>
      </w:r>
      <w:r>
        <w:rPr>
          <w:rFonts w:ascii="Times New Roman" w:hAnsi="Times New Roman" w:cs="Times New Roman"/>
          <w:sz w:val="24"/>
        </w:rPr>
        <w:t xml:space="preserve">. Although nothing is known about Brandon outside of </w:t>
      </w:r>
      <w:r>
        <w:rPr>
          <w:rFonts w:ascii="Times New Roman" w:hAnsi="Times New Roman" w:cs="Times New Roman"/>
          <w:i/>
          <w:sz w:val="24"/>
        </w:rPr>
        <w:t>The Virtuous Octavia</w:t>
      </w:r>
      <w:r>
        <w:rPr>
          <w:rFonts w:ascii="Times New Roman" w:hAnsi="Times New Roman" w:cs="Times New Roman"/>
          <w:sz w:val="24"/>
        </w:rPr>
        <w:t xml:space="preserve">, Andrew Hadfield has suggested that he had some contact with Edmund Spenser through the </w:t>
      </w:r>
      <w:proofErr w:type="spellStart"/>
      <w:r>
        <w:rPr>
          <w:rFonts w:ascii="Times New Roman" w:hAnsi="Times New Roman" w:cs="Times New Roman"/>
          <w:sz w:val="24"/>
        </w:rPr>
        <w:t>Touchet</w:t>
      </w:r>
      <w:proofErr w:type="spellEnd"/>
      <w:r>
        <w:rPr>
          <w:rFonts w:ascii="Times New Roman" w:hAnsi="Times New Roman" w:cs="Times New Roman"/>
          <w:sz w:val="24"/>
        </w:rPr>
        <w:t xml:space="preserve"> family who were acquiring land in Ireland in the late 1590s and whose daughter, Lucy, is the dedicatee of Brandon’s epistles at the end of the play.</w:t>
      </w:r>
      <w:r>
        <w:rPr>
          <w:rStyle w:val="FootnoteReference"/>
          <w:rFonts w:ascii="Times New Roman" w:hAnsi="Times New Roman" w:cs="Times New Roman"/>
          <w:sz w:val="24"/>
        </w:rPr>
        <w:footnoteReference w:id="102"/>
      </w:r>
      <w:r>
        <w:rPr>
          <w:rFonts w:ascii="Times New Roman" w:hAnsi="Times New Roman" w:cs="Times New Roman"/>
          <w:sz w:val="24"/>
        </w:rPr>
        <w:t xml:space="preserve"> Hadfield further argues that Brandon may have even based his portrayal of Sylvia on Spenser’s as yet unpublished </w:t>
      </w:r>
      <w:proofErr w:type="spellStart"/>
      <w:r>
        <w:rPr>
          <w:rFonts w:ascii="Times New Roman" w:hAnsi="Times New Roman" w:cs="Times New Roman"/>
          <w:sz w:val="24"/>
        </w:rPr>
        <w:t>Mutabilitie</w:t>
      </w:r>
      <w:proofErr w:type="spellEnd"/>
      <w:r>
        <w:rPr>
          <w:rFonts w:ascii="Times New Roman" w:hAnsi="Times New Roman" w:cs="Times New Roman"/>
          <w:sz w:val="24"/>
        </w:rPr>
        <w:t xml:space="preserve"> Cantos</w:t>
      </w:r>
      <w:r w:rsidR="00A32B19">
        <w:rPr>
          <w:rFonts w:ascii="Times New Roman" w:hAnsi="Times New Roman" w:cs="Times New Roman"/>
          <w:sz w:val="24"/>
        </w:rPr>
        <w:t>.</w:t>
      </w:r>
      <w:r w:rsidR="00A32B19">
        <w:rPr>
          <w:rStyle w:val="FootnoteReference"/>
          <w:rFonts w:ascii="Times New Roman" w:hAnsi="Times New Roman" w:cs="Times New Roman"/>
          <w:sz w:val="24"/>
        </w:rPr>
        <w:footnoteReference w:id="103"/>
      </w:r>
      <w:r w:rsidR="00A32B19">
        <w:rPr>
          <w:rFonts w:ascii="Times New Roman" w:hAnsi="Times New Roman" w:cs="Times New Roman"/>
          <w:sz w:val="24"/>
        </w:rPr>
        <w:t xml:space="preserve"> In this way, Brandon’s portrayal of Octavia </w:t>
      </w:r>
      <w:r w:rsidR="00EB2C74">
        <w:rPr>
          <w:rFonts w:ascii="Times New Roman" w:hAnsi="Times New Roman" w:cs="Times New Roman"/>
          <w:sz w:val="24"/>
        </w:rPr>
        <w:t>may</w:t>
      </w:r>
      <w:r w:rsidR="00A32B19">
        <w:rPr>
          <w:rFonts w:ascii="Times New Roman" w:hAnsi="Times New Roman" w:cs="Times New Roman"/>
          <w:sz w:val="24"/>
        </w:rPr>
        <w:t xml:space="preserve"> have been influenced by Spenserian reflections o</w:t>
      </w:r>
      <w:r w:rsidR="00B116EE">
        <w:rPr>
          <w:rFonts w:ascii="Times New Roman" w:hAnsi="Times New Roman" w:cs="Times New Roman"/>
          <w:sz w:val="24"/>
        </w:rPr>
        <w:t>n politicised</w:t>
      </w:r>
      <w:r w:rsidR="00A32B19">
        <w:rPr>
          <w:rFonts w:ascii="Times New Roman" w:hAnsi="Times New Roman" w:cs="Times New Roman"/>
          <w:sz w:val="24"/>
        </w:rPr>
        <w:t xml:space="preserve"> female</w:t>
      </w:r>
      <w:r w:rsidR="00B116EE">
        <w:rPr>
          <w:rFonts w:ascii="Times New Roman" w:hAnsi="Times New Roman" w:cs="Times New Roman"/>
          <w:sz w:val="24"/>
        </w:rPr>
        <w:t xml:space="preserve"> virtue</w:t>
      </w:r>
      <w:r w:rsidR="00A32B19">
        <w:rPr>
          <w:rFonts w:ascii="Times New Roman" w:hAnsi="Times New Roman" w:cs="Times New Roman"/>
          <w:sz w:val="24"/>
        </w:rPr>
        <w:t xml:space="preserve">, with similarities to </w:t>
      </w:r>
      <w:r w:rsidR="00A32B19">
        <w:rPr>
          <w:rFonts w:ascii="Times New Roman" w:hAnsi="Times New Roman" w:cs="Times New Roman"/>
          <w:i/>
          <w:sz w:val="24"/>
        </w:rPr>
        <w:t xml:space="preserve">The Faerie </w:t>
      </w:r>
      <w:proofErr w:type="spellStart"/>
      <w:r w:rsidR="00A32B19">
        <w:rPr>
          <w:rFonts w:ascii="Times New Roman" w:hAnsi="Times New Roman" w:cs="Times New Roman"/>
          <w:i/>
          <w:sz w:val="24"/>
        </w:rPr>
        <w:t>Queene</w:t>
      </w:r>
      <w:proofErr w:type="spellEnd"/>
      <w:r w:rsidR="00A32B19">
        <w:rPr>
          <w:rFonts w:ascii="Times New Roman" w:hAnsi="Times New Roman" w:cs="Times New Roman"/>
          <w:sz w:val="24"/>
        </w:rPr>
        <w:t xml:space="preserve"> in the ambiguous line between praise and criticism of female </w:t>
      </w:r>
      <w:r w:rsidR="00B116EE">
        <w:rPr>
          <w:rFonts w:ascii="Times New Roman" w:hAnsi="Times New Roman" w:cs="Times New Roman"/>
          <w:sz w:val="24"/>
        </w:rPr>
        <w:t>involvement in politics</w:t>
      </w:r>
      <w:r w:rsidR="00A32B19">
        <w:rPr>
          <w:rFonts w:ascii="Times New Roman" w:hAnsi="Times New Roman" w:cs="Times New Roman"/>
          <w:sz w:val="24"/>
        </w:rPr>
        <w:t xml:space="preserve"> and, therefore, of Elizabeth.</w:t>
      </w:r>
      <w:r w:rsidR="007F77E1">
        <w:rPr>
          <w:rFonts w:ascii="Times New Roman" w:hAnsi="Times New Roman" w:cs="Times New Roman"/>
          <w:sz w:val="24"/>
        </w:rPr>
        <w:t xml:space="preserve"> Overall</w:t>
      </w:r>
      <w:r w:rsidR="009C452A">
        <w:rPr>
          <w:rFonts w:ascii="Times New Roman" w:hAnsi="Times New Roman" w:cs="Times New Roman"/>
          <w:sz w:val="24"/>
        </w:rPr>
        <w:t>,</w:t>
      </w:r>
      <w:r w:rsidR="007F77E1">
        <w:rPr>
          <w:rFonts w:ascii="Times New Roman" w:hAnsi="Times New Roman" w:cs="Times New Roman"/>
          <w:sz w:val="24"/>
        </w:rPr>
        <w:t xml:space="preserve"> Brandon’s portrayal of Octavia is clearly </w:t>
      </w:r>
      <w:proofErr w:type="gramStart"/>
      <w:r w:rsidR="007F77E1">
        <w:rPr>
          <w:rFonts w:ascii="Times New Roman" w:hAnsi="Times New Roman" w:cs="Times New Roman"/>
          <w:sz w:val="24"/>
        </w:rPr>
        <w:t>similar to</w:t>
      </w:r>
      <w:proofErr w:type="gramEnd"/>
      <w:r w:rsidR="007F77E1">
        <w:rPr>
          <w:rFonts w:ascii="Times New Roman" w:hAnsi="Times New Roman" w:cs="Times New Roman"/>
          <w:sz w:val="24"/>
        </w:rPr>
        <w:t xml:space="preserve"> </w:t>
      </w:r>
      <w:r w:rsidR="00143FB6">
        <w:rPr>
          <w:rFonts w:ascii="Times New Roman" w:hAnsi="Times New Roman" w:cs="Times New Roman"/>
          <w:sz w:val="24"/>
        </w:rPr>
        <w:t>Sidney’s Cleopatra and Marlowe’s Dido in his</w:t>
      </w:r>
      <w:r w:rsidR="000B3DED">
        <w:rPr>
          <w:rFonts w:ascii="Times New Roman" w:hAnsi="Times New Roman" w:cs="Times New Roman"/>
          <w:sz w:val="24"/>
        </w:rPr>
        <w:t xml:space="preserve"> suggest</w:t>
      </w:r>
      <w:r w:rsidR="00143FB6">
        <w:rPr>
          <w:rFonts w:ascii="Times New Roman" w:hAnsi="Times New Roman" w:cs="Times New Roman"/>
          <w:sz w:val="24"/>
        </w:rPr>
        <w:t>ion</w:t>
      </w:r>
      <w:r w:rsidR="000B3DED">
        <w:rPr>
          <w:rFonts w:ascii="Times New Roman" w:hAnsi="Times New Roman" w:cs="Times New Roman"/>
          <w:sz w:val="24"/>
        </w:rPr>
        <w:t xml:space="preserve"> that female virtue is politically limiting</w:t>
      </w:r>
      <w:r w:rsidR="00892026">
        <w:rPr>
          <w:rFonts w:ascii="Times New Roman" w:hAnsi="Times New Roman" w:cs="Times New Roman"/>
          <w:sz w:val="24"/>
        </w:rPr>
        <w:t xml:space="preserve">, which raises questions about Elizabeth’s </w:t>
      </w:r>
      <w:r w:rsidR="009C452A">
        <w:rPr>
          <w:rFonts w:ascii="Times New Roman" w:hAnsi="Times New Roman" w:cs="Times New Roman"/>
          <w:sz w:val="24"/>
        </w:rPr>
        <w:t xml:space="preserve">own ability to marry womanly virtue </w:t>
      </w:r>
      <w:r w:rsidR="00E01848">
        <w:rPr>
          <w:rFonts w:ascii="Times New Roman" w:hAnsi="Times New Roman" w:cs="Times New Roman"/>
          <w:sz w:val="24"/>
        </w:rPr>
        <w:t>with</w:t>
      </w:r>
      <w:r w:rsidR="009C452A">
        <w:rPr>
          <w:rFonts w:ascii="Times New Roman" w:hAnsi="Times New Roman" w:cs="Times New Roman"/>
          <w:sz w:val="24"/>
        </w:rPr>
        <w:t xml:space="preserve"> </w:t>
      </w:r>
      <w:r w:rsidR="00067854">
        <w:rPr>
          <w:rFonts w:ascii="Times New Roman" w:hAnsi="Times New Roman" w:cs="Times New Roman"/>
          <w:sz w:val="24"/>
        </w:rPr>
        <w:t xml:space="preserve">ruling. </w:t>
      </w:r>
    </w:p>
    <w:p w14:paraId="74CFCE6E" w14:textId="77777777" w:rsidR="00017342" w:rsidRDefault="00017342" w:rsidP="002D58FB">
      <w:pPr>
        <w:spacing w:line="240" w:lineRule="auto"/>
        <w:jc w:val="both"/>
        <w:rPr>
          <w:rFonts w:ascii="Times New Roman" w:hAnsi="Times New Roman" w:cs="Times New Roman"/>
          <w:sz w:val="24"/>
        </w:rPr>
      </w:pPr>
    </w:p>
    <w:p w14:paraId="27C2C42A" w14:textId="667085C3" w:rsidR="00017342" w:rsidRDefault="00017342" w:rsidP="002D58FB">
      <w:pPr>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III</w:t>
      </w:r>
    </w:p>
    <w:p w14:paraId="2861B32A" w14:textId="77777777" w:rsidR="00017342" w:rsidRDefault="00017342" w:rsidP="002D58FB">
      <w:pPr>
        <w:spacing w:line="240" w:lineRule="auto"/>
        <w:jc w:val="both"/>
        <w:rPr>
          <w:rFonts w:ascii="Times New Roman" w:hAnsi="Times New Roman" w:cs="Times New Roman"/>
          <w:sz w:val="24"/>
        </w:rPr>
      </w:pPr>
    </w:p>
    <w:p w14:paraId="2F88C57A" w14:textId="632F4B1E" w:rsidR="005F3CC1" w:rsidRDefault="00D0563C" w:rsidP="002D58FB">
      <w:pPr>
        <w:spacing w:line="240" w:lineRule="auto"/>
        <w:jc w:val="both"/>
        <w:rPr>
          <w:rFonts w:ascii="Times New Roman" w:hAnsi="Times New Roman" w:cs="Times New Roman"/>
          <w:sz w:val="24"/>
        </w:rPr>
      </w:pPr>
      <w:r>
        <w:rPr>
          <w:rFonts w:ascii="Times New Roman" w:hAnsi="Times New Roman" w:cs="Times New Roman"/>
          <w:sz w:val="24"/>
        </w:rPr>
        <w:t xml:space="preserve">So </w:t>
      </w:r>
      <w:r w:rsidR="00E6022D">
        <w:rPr>
          <w:rFonts w:ascii="Times New Roman" w:hAnsi="Times New Roman" w:cs="Times New Roman"/>
          <w:sz w:val="24"/>
        </w:rPr>
        <w:t>far,</w:t>
      </w:r>
      <w:r>
        <w:rPr>
          <w:rFonts w:ascii="Times New Roman" w:hAnsi="Times New Roman" w:cs="Times New Roman"/>
          <w:sz w:val="24"/>
        </w:rPr>
        <w:t xml:space="preserve"> we have examined </w:t>
      </w:r>
      <w:r w:rsidR="002371A2">
        <w:rPr>
          <w:rFonts w:ascii="Times New Roman" w:hAnsi="Times New Roman" w:cs="Times New Roman"/>
          <w:sz w:val="24"/>
        </w:rPr>
        <w:t>authors</w:t>
      </w:r>
      <w:r>
        <w:rPr>
          <w:rFonts w:ascii="Times New Roman" w:hAnsi="Times New Roman" w:cs="Times New Roman"/>
          <w:sz w:val="24"/>
        </w:rPr>
        <w:t xml:space="preserve"> wh</w:t>
      </w:r>
      <w:r w:rsidR="002371A2">
        <w:rPr>
          <w:rFonts w:ascii="Times New Roman" w:hAnsi="Times New Roman" w:cs="Times New Roman"/>
          <w:sz w:val="24"/>
        </w:rPr>
        <w:t>o</w:t>
      </w:r>
      <w:r>
        <w:rPr>
          <w:rFonts w:ascii="Times New Roman" w:hAnsi="Times New Roman" w:cs="Times New Roman"/>
          <w:sz w:val="24"/>
        </w:rPr>
        <w:t xml:space="preserve"> t</w:t>
      </w:r>
      <w:r w:rsidR="001779C0">
        <w:rPr>
          <w:rFonts w:ascii="Times New Roman" w:hAnsi="Times New Roman" w:cs="Times New Roman"/>
          <w:sz w:val="24"/>
        </w:rPr>
        <w:t>ook</w:t>
      </w:r>
      <w:r>
        <w:rPr>
          <w:rFonts w:ascii="Times New Roman" w:hAnsi="Times New Roman" w:cs="Times New Roman"/>
          <w:sz w:val="24"/>
        </w:rPr>
        <w:t xml:space="preserve"> for granted the set of traditional virtues</w:t>
      </w:r>
      <w:r w:rsidR="004A558E">
        <w:rPr>
          <w:rFonts w:ascii="Times New Roman" w:hAnsi="Times New Roman" w:cs="Times New Roman"/>
          <w:sz w:val="24"/>
        </w:rPr>
        <w:t xml:space="preserve"> assigned to women. The </w:t>
      </w:r>
      <w:r w:rsidR="00BC341F">
        <w:rPr>
          <w:rFonts w:ascii="Times New Roman" w:hAnsi="Times New Roman" w:cs="Times New Roman"/>
          <w:sz w:val="24"/>
        </w:rPr>
        <w:t>contradiction</w:t>
      </w:r>
      <w:r w:rsidR="004A558E">
        <w:rPr>
          <w:rFonts w:ascii="Times New Roman" w:hAnsi="Times New Roman" w:cs="Times New Roman"/>
          <w:sz w:val="24"/>
        </w:rPr>
        <w:t xml:space="preserve"> that women involved in politics face</w:t>
      </w:r>
      <w:r w:rsidR="00BC341F">
        <w:rPr>
          <w:rFonts w:ascii="Times New Roman" w:hAnsi="Times New Roman" w:cs="Times New Roman"/>
          <w:sz w:val="24"/>
        </w:rPr>
        <w:t>d</w:t>
      </w:r>
      <w:r w:rsidR="004A558E">
        <w:rPr>
          <w:rFonts w:ascii="Times New Roman" w:hAnsi="Times New Roman" w:cs="Times New Roman"/>
          <w:sz w:val="24"/>
        </w:rPr>
        <w:t xml:space="preserve"> between their private morality and the demands of political expediency </w:t>
      </w:r>
      <w:r w:rsidR="00610507">
        <w:rPr>
          <w:rFonts w:ascii="Times New Roman" w:hAnsi="Times New Roman" w:cs="Times New Roman"/>
          <w:sz w:val="24"/>
        </w:rPr>
        <w:t>wa</w:t>
      </w:r>
      <w:r w:rsidR="004A558E">
        <w:rPr>
          <w:rFonts w:ascii="Times New Roman" w:hAnsi="Times New Roman" w:cs="Times New Roman"/>
          <w:sz w:val="24"/>
        </w:rPr>
        <w:t xml:space="preserve">s predicated on the prescriptive ideas about female virtue which </w:t>
      </w:r>
      <w:r w:rsidR="00BC341F">
        <w:rPr>
          <w:rFonts w:ascii="Times New Roman" w:hAnsi="Times New Roman" w:cs="Times New Roman"/>
          <w:sz w:val="24"/>
        </w:rPr>
        <w:t>were</w:t>
      </w:r>
      <w:r w:rsidR="004A558E">
        <w:rPr>
          <w:rFonts w:ascii="Times New Roman" w:hAnsi="Times New Roman" w:cs="Times New Roman"/>
          <w:sz w:val="24"/>
        </w:rPr>
        <w:t xml:space="preserve"> outlined at the beginning of this thesis. However, not all </w:t>
      </w:r>
      <w:r w:rsidR="00473DD5">
        <w:rPr>
          <w:rFonts w:ascii="Times New Roman" w:hAnsi="Times New Roman" w:cs="Times New Roman"/>
          <w:sz w:val="24"/>
        </w:rPr>
        <w:t>dramatists</w:t>
      </w:r>
      <w:r w:rsidR="004A558E">
        <w:rPr>
          <w:rFonts w:ascii="Times New Roman" w:hAnsi="Times New Roman" w:cs="Times New Roman"/>
          <w:sz w:val="24"/>
        </w:rPr>
        <w:t xml:space="preserve"> who were thinking about female virtue and its relation to politics accepted th</w:t>
      </w:r>
      <w:r w:rsidR="00F87B35">
        <w:rPr>
          <w:rFonts w:ascii="Times New Roman" w:hAnsi="Times New Roman" w:cs="Times New Roman"/>
          <w:sz w:val="24"/>
        </w:rPr>
        <w:t>ese</w:t>
      </w:r>
      <w:r w:rsidR="004A558E">
        <w:rPr>
          <w:rFonts w:ascii="Times New Roman" w:hAnsi="Times New Roman" w:cs="Times New Roman"/>
          <w:sz w:val="24"/>
        </w:rPr>
        <w:t xml:space="preserve"> notion</w:t>
      </w:r>
      <w:r w:rsidR="00F87B35">
        <w:rPr>
          <w:rFonts w:ascii="Times New Roman" w:hAnsi="Times New Roman" w:cs="Times New Roman"/>
          <w:sz w:val="24"/>
        </w:rPr>
        <w:t>s</w:t>
      </w:r>
      <w:r w:rsidR="004A558E">
        <w:rPr>
          <w:rFonts w:ascii="Times New Roman" w:hAnsi="Times New Roman" w:cs="Times New Roman"/>
          <w:sz w:val="24"/>
        </w:rPr>
        <w:t xml:space="preserve"> of female </w:t>
      </w:r>
      <w:r w:rsidR="00F87B35">
        <w:rPr>
          <w:rFonts w:ascii="Times New Roman" w:hAnsi="Times New Roman" w:cs="Times New Roman"/>
          <w:sz w:val="24"/>
        </w:rPr>
        <w:t>morality</w:t>
      </w:r>
      <w:r w:rsidR="004A558E">
        <w:rPr>
          <w:rFonts w:ascii="Times New Roman" w:hAnsi="Times New Roman" w:cs="Times New Roman"/>
          <w:sz w:val="24"/>
        </w:rPr>
        <w:t xml:space="preserve"> without question.</w:t>
      </w:r>
      <w:r>
        <w:rPr>
          <w:rFonts w:ascii="Times New Roman" w:hAnsi="Times New Roman" w:cs="Times New Roman"/>
          <w:sz w:val="24"/>
        </w:rPr>
        <w:t xml:space="preserve"> </w:t>
      </w:r>
      <w:r w:rsidR="005F3CC1">
        <w:rPr>
          <w:rFonts w:ascii="Times New Roman" w:hAnsi="Times New Roman" w:cs="Times New Roman"/>
          <w:sz w:val="24"/>
        </w:rPr>
        <w:t xml:space="preserve">Shakespeare’s </w:t>
      </w:r>
      <w:r w:rsidR="005F3CC1">
        <w:rPr>
          <w:rFonts w:ascii="Times New Roman" w:hAnsi="Times New Roman" w:cs="Times New Roman"/>
          <w:i/>
          <w:sz w:val="24"/>
        </w:rPr>
        <w:t>Antony and Cleopatra</w:t>
      </w:r>
      <w:r w:rsidR="004A558E">
        <w:rPr>
          <w:rFonts w:ascii="Times New Roman" w:hAnsi="Times New Roman" w:cs="Times New Roman"/>
          <w:sz w:val="24"/>
        </w:rPr>
        <w:t xml:space="preserve"> </w:t>
      </w:r>
      <w:r w:rsidR="00D70784">
        <w:rPr>
          <w:rFonts w:ascii="Times New Roman" w:hAnsi="Times New Roman" w:cs="Times New Roman"/>
          <w:sz w:val="24"/>
        </w:rPr>
        <w:t>demonstrates</w:t>
      </w:r>
      <w:r w:rsidR="004A558E">
        <w:rPr>
          <w:rFonts w:ascii="Times New Roman" w:hAnsi="Times New Roman" w:cs="Times New Roman"/>
          <w:sz w:val="24"/>
        </w:rPr>
        <w:t xml:space="preserve"> this in its</w:t>
      </w:r>
      <w:r w:rsidR="005F3CC1">
        <w:rPr>
          <w:rFonts w:ascii="Times New Roman" w:hAnsi="Times New Roman" w:cs="Times New Roman"/>
          <w:sz w:val="24"/>
        </w:rPr>
        <w:t xml:space="preserve"> nuanced portrayal of </w:t>
      </w:r>
      <w:r w:rsidR="004A558E">
        <w:rPr>
          <w:rFonts w:ascii="Times New Roman" w:hAnsi="Times New Roman" w:cs="Times New Roman"/>
          <w:sz w:val="24"/>
        </w:rPr>
        <w:t>Octavia</w:t>
      </w:r>
      <w:r w:rsidR="00296BE4">
        <w:rPr>
          <w:rFonts w:ascii="Times New Roman" w:hAnsi="Times New Roman" w:cs="Times New Roman"/>
          <w:sz w:val="24"/>
        </w:rPr>
        <w:t xml:space="preserve"> who is</w:t>
      </w:r>
      <w:r w:rsidR="005F3CC1">
        <w:rPr>
          <w:rFonts w:ascii="Times New Roman" w:hAnsi="Times New Roman" w:cs="Times New Roman"/>
          <w:sz w:val="24"/>
        </w:rPr>
        <w:t xml:space="preserve"> a case study in the limits of constancy</w:t>
      </w:r>
      <w:r w:rsidR="00E95662">
        <w:rPr>
          <w:rFonts w:ascii="Times New Roman" w:hAnsi="Times New Roman" w:cs="Times New Roman"/>
          <w:sz w:val="24"/>
        </w:rPr>
        <w:t>,</w:t>
      </w:r>
      <w:r w:rsidR="005F3CC1">
        <w:rPr>
          <w:rFonts w:ascii="Times New Roman" w:hAnsi="Times New Roman" w:cs="Times New Roman"/>
          <w:sz w:val="24"/>
        </w:rPr>
        <w:t xml:space="preserve"> torn between her love for her husband and her brother:</w:t>
      </w:r>
    </w:p>
    <w:p w14:paraId="69EBD395" w14:textId="5F100AF3" w:rsidR="005F3CC1" w:rsidRDefault="005F3CC1" w:rsidP="002D58FB">
      <w:pPr>
        <w:spacing w:line="240" w:lineRule="auto"/>
        <w:ind w:left="720" w:right="2160"/>
        <w:jc w:val="both"/>
        <w:rPr>
          <w:rFonts w:ascii="Times New Roman" w:hAnsi="Times New Roman" w:cs="Times New Roman"/>
          <w:sz w:val="24"/>
        </w:rPr>
      </w:pPr>
      <w:r>
        <w:rPr>
          <w:rFonts w:ascii="Times New Roman" w:hAnsi="Times New Roman" w:cs="Times New Roman"/>
          <w:sz w:val="24"/>
        </w:rPr>
        <w:t>A more unhappy lady,</w:t>
      </w:r>
    </w:p>
    <w:p w14:paraId="0580FDB9" w14:textId="5409A4FF" w:rsidR="005F3CC1" w:rsidRDefault="005F3CC1" w:rsidP="002D58FB">
      <w:pPr>
        <w:spacing w:line="240" w:lineRule="auto"/>
        <w:ind w:left="720" w:right="2160"/>
        <w:jc w:val="both"/>
        <w:rPr>
          <w:rFonts w:ascii="Times New Roman" w:hAnsi="Times New Roman" w:cs="Times New Roman"/>
          <w:sz w:val="24"/>
        </w:rPr>
      </w:pPr>
      <w:r>
        <w:rPr>
          <w:rFonts w:ascii="Times New Roman" w:hAnsi="Times New Roman" w:cs="Times New Roman"/>
          <w:sz w:val="24"/>
        </w:rPr>
        <w:t>If this division chance, ne’er stood between,</w:t>
      </w:r>
    </w:p>
    <w:p w14:paraId="110B9A5D" w14:textId="61EA0B0F" w:rsidR="005F3CC1" w:rsidRDefault="005F3CC1" w:rsidP="002D58FB">
      <w:pPr>
        <w:spacing w:line="240" w:lineRule="auto"/>
        <w:ind w:left="720" w:right="2160"/>
        <w:jc w:val="both"/>
        <w:rPr>
          <w:rFonts w:ascii="Times New Roman" w:hAnsi="Times New Roman" w:cs="Times New Roman"/>
          <w:sz w:val="24"/>
        </w:rPr>
      </w:pPr>
      <w:r>
        <w:rPr>
          <w:rFonts w:ascii="Times New Roman" w:hAnsi="Times New Roman" w:cs="Times New Roman"/>
          <w:sz w:val="24"/>
        </w:rPr>
        <w:t>Praying for both parts.</w:t>
      </w:r>
      <w:r>
        <w:rPr>
          <w:rStyle w:val="FootnoteReference"/>
          <w:rFonts w:ascii="Times New Roman" w:hAnsi="Times New Roman" w:cs="Times New Roman"/>
          <w:sz w:val="24"/>
        </w:rPr>
        <w:footnoteReference w:id="104"/>
      </w:r>
    </w:p>
    <w:p w14:paraId="4C020E64" w14:textId="6AED69D0" w:rsidR="00DC0CBE" w:rsidRDefault="00747DF6" w:rsidP="002D58FB">
      <w:pPr>
        <w:spacing w:line="240" w:lineRule="auto"/>
        <w:jc w:val="both"/>
        <w:rPr>
          <w:rFonts w:ascii="Times New Roman" w:hAnsi="Times New Roman" w:cs="Times New Roman"/>
          <w:sz w:val="24"/>
        </w:rPr>
      </w:pPr>
      <w:r>
        <w:rPr>
          <w:rFonts w:ascii="Times New Roman" w:hAnsi="Times New Roman" w:cs="Times New Roman"/>
          <w:sz w:val="24"/>
        </w:rPr>
        <w:t>However, whilst in Brandon’s play Octavia’s conduct is presented as unambiguously right and virtuous, with her unhappiness solely caused by Antony’s immoral liaisons with Cleopatra which themselves are suggested to be the product of sorcery</w:t>
      </w:r>
      <w:r w:rsidR="00E6022D">
        <w:rPr>
          <w:rFonts w:ascii="Times New Roman" w:hAnsi="Times New Roman" w:cs="Times New Roman"/>
          <w:sz w:val="24"/>
        </w:rPr>
        <w:t xml:space="preserve"> through comparison</w:t>
      </w:r>
      <w:r w:rsidR="00FF16D0">
        <w:rPr>
          <w:rFonts w:ascii="Times New Roman" w:hAnsi="Times New Roman" w:cs="Times New Roman"/>
          <w:sz w:val="24"/>
        </w:rPr>
        <w:t>s with</w:t>
      </w:r>
      <w:r w:rsidR="00E6022D">
        <w:rPr>
          <w:rFonts w:ascii="Times New Roman" w:hAnsi="Times New Roman" w:cs="Times New Roman"/>
          <w:sz w:val="24"/>
        </w:rPr>
        <w:t xml:space="preserve"> Circe and the sirens</w:t>
      </w:r>
      <w:r>
        <w:rPr>
          <w:rFonts w:ascii="Times New Roman" w:hAnsi="Times New Roman" w:cs="Times New Roman"/>
          <w:sz w:val="24"/>
        </w:rPr>
        <w:t>,</w:t>
      </w:r>
      <w:r w:rsidR="00E6022D">
        <w:rPr>
          <w:rStyle w:val="FootnoteReference"/>
          <w:rFonts w:ascii="Times New Roman" w:hAnsi="Times New Roman" w:cs="Times New Roman"/>
          <w:sz w:val="24"/>
        </w:rPr>
        <w:footnoteReference w:id="105"/>
      </w:r>
      <w:r>
        <w:rPr>
          <w:rFonts w:ascii="Times New Roman" w:hAnsi="Times New Roman" w:cs="Times New Roman"/>
          <w:sz w:val="24"/>
        </w:rPr>
        <w:t xml:space="preserve"> in Shakespeare’s play Octavia’s supposed virtue </w:t>
      </w:r>
      <w:r w:rsidR="00D70784">
        <w:rPr>
          <w:rFonts w:ascii="Times New Roman" w:hAnsi="Times New Roman" w:cs="Times New Roman"/>
          <w:sz w:val="24"/>
        </w:rPr>
        <w:t>has limitations</w:t>
      </w:r>
      <w:r>
        <w:rPr>
          <w:rFonts w:ascii="Times New Roman" w:hAnsi="Times New Roman" w:cs="Times New Roman"/>
          <w:sz w:val="24"/>
        </w:rPr>
        <w:t xml:space="preserve">. </w:t>
      </w:r>
      <w:proofErr w:type="spellStart"/>
      <w:r>
        <w:rPr>
          <w:rFonts w:ascii="Times New Roman" w:hAnsi="Times New Roman" w:cs="Times New Roman"/>
          <w:sz w:val="24"/>
        </w:rPr>
        <w:t>Enobarbus</w:t>
      </w:r>
      <w:proofErr w:type="spellEnd"/>
      <w:r>
        <w:rPr>
          <w:rFonts w:ascii="Times New Roman" w:hAnsi="Times New Roman" w:cs="Times New Roman"/>
          <w:sz w:val="24"/>
        </w:rPr>
        <w:t xml:space="preserve"> predicts that the marriage between Octavia and Antony will drive the Triumvirs further apart because ‘Octavia is of a holy, cold, and still conversation.’ </w:t>
      </w:r>
      <w:proofErr w:type="spellStart"/>
      <w:r>
        <w:rPr>
          <w:rFonts w:ascii="Times New Roman" w:hAnsi="Times New Roman" w:cs="Times New Roman"/>
          <w:sz w:val="24"/>
        </w:rPr>
        <w:t>Menas</w:t>
      </w:r>
      <w:proofErr w:type="spellEnd"/>
      <w:r>
        <w:rPr>
          <w:rFonts w:ascii="Times New Roman" w:hAnsi="Times New Roman" w:cs="Times New Roman"/>
          <w:sz w:val="24"/>
        </w:rPr>
        <w:t xml:space="preserve"> </w:t>
      </w:r>
      <w:r w:rsidR="004D6EEF">
        <w:rPr>
          <w:rFonts w:ascii="Times New Roman" w:hAnsi="Times New Roman" w:cs="Times New Roman"/>
          <w:sz w:val="24"/>
        </w:rPr>
        <w:t>replies</w:t>
      </w:r>
      <w:r>
        <w:rPr>
          <w:rFonts w:ascii="Times New Roman" w:hAnsi="Times New Roman" w:cs="Times New Roman"/>
          <w:sz w:val="24"/>
        </w:rPr>
        <w:t xml:space="preserve">: ‘Who would not </w:t>
      </w:r>
      <w:r>
        <w:rPr>
          <w:rFonts w:ascii="Times New Roman" w:hAnsi="Times New Roman" w:cs="Times New Roman"/>
          <w:sz w:val="24"/>
        </w:rPr>
        <w:lastRenderedPageBreak/>
        <w:t>have his wife so?’</w:t>
      </w:r>
      <w:r>
        <w:rPr>
          <w:rStyle w:val="FootnoteReference"/>
          <w:rFonts w:ascii="Times New Roman" w:hAnsi="Times New Roman" w:cs="Times New Roman"/>
          <w:sz w:val="24"/>
        </w:rPr>
        <w:footnoteReference w:id="106"/>
      </w:r>
      <w:r>
        <w:rPr>
          <w:rFonts w:ascii="Times New Roman" w:hAnsi="Times New Roman" w:cs="Times New Roman"/>
          <w:sz w:val="24"/>
        </w:rPr>
        <w:t xml:space="preserve"> </w:t>
      </w:r>
      <w:proofErr w:type="spellStart"/>
      <w:r>
        <w:rPr>
          <w:rFonts w:ascii="Times New Roman" w:hAnsi="Times New Roman" w:cs="Times New Roman"/>
          <w:sz w:val="24"/>
        </w:rPr>
        <w:t>Menas</w:t>
      </w:r>
      <w:proofErr w:type="spellEnd"/>
      <w:r>
        <w:rPr>
          <w:rFonts w:ascii="Times New Roman" w:hAnsi="Times New Roman" w:cs="Times New Roman"/>
          <w:sz w:val="24"/>
        </w:rPr>
        <w:t xml:space="preserve"> here expresses the typical position espoused by late Elizabethan moralists about the virtues of a wife, but it is </w:t>
      </w:r>
      <w:proofErr w:type="spellStart"/>
      <w:r>
        <w:rPr>
          <w:rFonts w:ascii="Times New Roman" w:hAnsi="Times New Roman" w:cs="Times New Roman"/>
          <w:sz w:val="24"/>
        </w:rPr>
        <w:t>Enobarbus</w:t>
      </w:r>
      <w:proofErr w:type="spellEnd"/>
      <w:r>
        <w:rPr>
          <w:rFonts w:ascii="Times New Roman" w:hAnsi="Times New Roman" w:cs="Times New Roman"/>
          <w:sz w:val="24"/>
        </w:rPr>
        <w:t xml:space="preserve"> who is proved correct: Antony rejects </w:t>
      </w:r>
      <w:proofErr w:type="spellStart"/>
      <w:r>
        <w:rPr>
          <w:rFonts w:ascii="Times New Roman" w:hAnsi="Times New Roman" w:cs="Times New Roman"/>
          <w:sz w:val="24"/>
        </w:rPr>
        <w:t>Menas</w:t>
      </w:r>
      <w:proofErr w:type="spellEnd"/>
      <w:r>
        <w:rPr>
          <w:rFonts w:ascii="Times New Roman" w:hAnsi="Times New Roman" w:cs="Times New Roman"/>
          <w:sz w:val="24"/>
        </w:rPr>
        <w:t>’ vision of the ideal wife and returns to Cleopatra</w:t>
      </w:r>
      <w:r w:rsidR="00BC341F">
        <w:rPr>
          <w:rFonts w:ascii="Times New Roman" w:hAnsi="Times New Roman" w:cs="Times New Roman"/>
          <w:sz w:val="24"/>
        </w:rPr>
        <w:t xml:space="preserve">, not because she is a sorceress, but </w:t>
      </w:r>
      <w:r w:rsidR="00BC341F" w:rsidRPr="00E511FA">
        <w:rPr>
          <w:rFonts w:ascii="Times New Roman" w:hAnsi="Times New Roman" w:cs="Times New Roman"/>
          <w:sz w:val="24"/>
        </w:rPr>
        <w:t>because</w:t>
      </w:r>
      <w:r w:rsidR="00BC341F">
        <w:rPr>
          <w:rFonts w:ascii="Times New Roman" w:hAnsi="Times New Roman" w:cs="Times New Roman"/>
          <w:sz w:val="24"/>
        </w:rPr>
        <w:t xml:space="preserve"> Octavia has all the traits of a woman who would traditionally be considered virtuous</w:t>
      </w:r>
      <w:r w:rsidR="00EE3967">
        <w:rPr>
          <w:rFonts w:ascii="Times New Roman" w:hAnsi="Times New Roman" w:cs="Times New Roman"/>
          <w:sz w:val="24"/>
        </w:rPr>
        <w:t>.</w:t>
      </w:r>
      <w:r w:rsidR="009C57BA">
        <w:rPr>
          <w:rFonts w:ascii="Times New Roman" w:hAnsi="Times New Roman" w:cs="Times New Roman"/>
          <w:sz w:val="24"/>
        </w:rPr>
        <w:t xml:space="preserve"> In this way, Shakespeare presents Octavia’s virtue as something potentially unattractive.</w:t>
      </w:r>
      <w:r w:rsidR="00EE3967">
        <w:rPr>
          <w:rFonts w:ascii="Times New Roman" w:hAnsi="Times New Roman" w:cs="Times New Roman"/>
          <w:sz w:val="24"/>
        </w:rPr>
        <w:t xml:space="preserve"> </w:t>
      </w:r>
      <w:r w:rsidR="001A42C0">
        <w:rPr>
          <w:rFonts w:ascii="Times New Roman" w:hAnsi="Times New Roman" w:cs="Times New Roman"/>
          <w:sz w:val="24"/>
        </w:rPr>
        <w:t xml:space="preserve">It is important to note that Shakespeare deviates from Plutarch, since in Plutarch’s </w:t>
      </w:r>
      <w:r w:rsidR="005A1ABD">
        <w:rPr>
          <w:rFonts w:ascii="Times New Roman" w:hAnsi="Times New Roman" w:cs="Times New Roman"/>
          <w:i/>
          <w:sz w:val="24"/>
        </w:rPr>
        <w:t>Antonius</w:t>
      </w:r>
      <w:r w:rsidR="001A42C0">
        <w:rPr>
          <w:rFonts w:ascii="Times New Roman" w:hAnsi="Times New Roman" w:cs="Times New Roman"/>
          <w:sz w:val="24"/>
        </w:rPr>
        <w:t xml:space="preserve"> Octavia is roundly praised</w:t>
      </w:r>
      <w:r w:rsidR="00DC0CBE">
        <w:rPr>
          <w:rFonts w:ascii="Times New Roman" w:hAnsi="Times New Roman" w:cs="Times New Roman"/>
          <w:sz w:val="24"/>
        </w:rPr>
        <w:t>:</w:t>
      </w:r>
    </w:p>
    <w:p w14:paraId="23244B9D" w14:textId="5FF62D66" w:rsidR="00F17360" w:rsidRDefault="00791477" w:rsidP="00655F76">
      <w:pPr>
        <w:spacing w:line="240" w:lineRule="auto"/>
        <w:ind w:left="720" w:right="720"/>
        <w:jc w:val="both"/>
        <w:rPr>
          <w:rFonts w:ascii="Times New Roman" w:hAnsi="Times New Roman" w:cs="Times New Roman"/>
          <w:sz w:val="24"/>
        </w:rPr>
      </w:pPr>
      <w:proofErr w:type="spellStart"/>
      <w:r>
        <w:rPr>
          <w:rFonts w:ascii="Times New Roman" w:hAnsi="Times New Roman" w:cs="Times New Roman"/>
          <w:sz w:val="24"/>
        </w:rPr>
        <w:t>Thereuppon</w:t>
      </w:r>
      <w:proofErr w:type="spellEnd"/>
      <w:r>
        <w:rPr>
          <w:rFonts w:ascii="Times New Roman" w:hAnsi="Times New Roman" w:cs="Times New Roman"/>
          <w:sz w:val="24"/>
        </w:rPr>
        <w:t xml:space="preserve"> </w:t>
      </w:r>
      <w:proofErr w:type="spellStart"/>
      <w:r>
        <w:rPr>
          <w:rFonts w:ascii="Times New Roman" w:hAnsi="Times New Roman" w:cs="Times New Roman"/>
          <w:sz w:val="24"/>
        </w:rPr>
        <w:t>e</w:t>
      </w:r>
      <w:r w:rsidR="00D8617D">
        <w:rPr>
          <w:rFonts w:ascii="Times New Roman" w:hAnsi="Times New Roman" w:cs="Times New Roman"/>
          <w:sz w:val="24"/>
        </w:rPr>
        <w:t>verie</w:t>
      </w:r>
      <w:proofErr w:type="spellEnd"/>
      <w:r w:rsidR="00D8617D">
        <w:rPr>
          <w:rFonts w:ascii="Times New Roman" w:hAnsi="Times New Roman" w:cs="Times New Roman"/>
          <w:sz w:val="24"/>
        </w:rPr>
        <w:t xml:space="preserve"> man </w:t>
      </w:r>
      <w:r w:rsidR="00555330">
        <w:rPr>
          <w:rFonts w:ascii="Times New Roman" w:hAnsi="Times New Roman" w:cs="Times New Roman"/>
          <w:sz w:val="24"/>
        </w:rPr>
        <w:t xml:space="preserve">did set forward this marriage, hoping thereby that this </w:t>
      </w:r>
      <w:proofErr w:type="spellStart"/>
      <w:r w:rsidR="00555330">
        <w:rPr>
          <w:rFonts w:ascii="Times New Roman" w:hAnsi="Times New Roman" w:cs="Times New Roman"/>
          <w:sz w:val="24"/>
        </w:rPr>
        <w:t>Ladie</w:t>
      </w:r>
      <w:proofErr w:type="spellEnd"/>
      <w:r w:rsidR="00555330">
        <w:rPr>
          <w:rFonts w:ascii="Times New Roman" w:hAnsi="Times New Roman" w:cs="Times New Roman"/>
          <w:sz w:val="24"/>
        </w:rPr>
        <w:t xml:space="preserve"> Octavia, </w:t>
      </w:r>
      <w:r w:rsidR="0015261A">
        <w:rPr>
          <w:rFonts w:ascii="Times New Roman" w:hAnsi="Times New Roman" w:cs="Times New Roman"/>
          <w:sz w:val="24"/>
        </w:rPr>
        <w:t xml:space="preserve">having an excellent grace, </w:t>
      </w:r>
      <w:proofErr w:type="spellStart"/>
      <w:r w:rsidR="0015261A">
        <w:rPr>
          <w:rFonts w:ascii="Times New Roman" w:hAnsi="Times New Roman" w:cs="Times New Roman"/>
          <w:sz w:val="24"/>
        </w:rPr>
        <w:t>wisedom</w:t>
      </w:r>
      <w:proofErr w:type="spellEnd"/>
      <w:r w:rsidR="0015261A">
        <w:rPr>
          <w:rFonts w:ascii="Times New Roman" w:hAnsi="Times New Roman" w:cs="Times New Roman"/>
          <w:sz w:val="24"/>
        </w:rPr>
        <w:t xml:space="preserve"> and </w:t>
      </w:r>
      <w:proofErr w:type="spellStart"/>
      <w:r w:rsidR="0015261A">
        <w:rPr>
          <w:rFonts w:ascii="Times New Roman" w:hAnsi="Times New Roman" w:cs="Times New Roman"/>
          <w:sz w:val="24"/>
        </w:rPr>
        <w:t>honestie</w:t>
      </w:r>
      <w:proofErr w:type="spellEnd"/>
      <w:r w:rsidR="0015261A">
        <w:rPr>
          <w:rFonts w:ascii="Times New Roman" w:hAnsi="Times New Roman" w:cs="Times New Roman"/>
          <w:sz w:val="24"/>
        </w:rPr>
        <w:t xml:space="preserve">, </w:t>
      </w:r>
      <w:proofErr w:type="spellStart"/>
      <w:r w:rsidR="0015261A">
        <w:rPr>
          <w:rFonts w:ascii="Times New Roman" w:hAnsi="Times New Roman" w:cs="Times New Roman"/>
          <w:sz w:val="24"/>
        </w:rPr>
        <w:t>jo</w:t>
      </w:r>
      <w:r w:rsidR="00C514A6">
        <w:rPr>
          <w:rFonts w:ascii="Times New Roman" w:hAnsi="Times New Roman" w:cs="Times New Roman"/>
          <w:sz w:val="24"/>
        </w:rPr>
        <w:t>y</w:t>
      </w:r>
      <w:r w:rsidR="0015261A">
        <w:rPr>
          <w:rFonts w:ascii="Times New Roman" w:hAnsi="Times New Roman" w:cs="Times New Roman"/>
          <w:sz w:val="24"/>
        </w:rPr>
        <w:t>ned</w:t>
      </w:r>
      <w:proofErr w:type="spellEnd"/>
      <w:r w:rsidR="0015261A">
        <w:rPr>
          <w:rFonts w:ascii="Times New Roman" w:hAnsi="Times New Roman" w:cs="Times New Roman"/>
          <w:sz w:val="24"/>
        </w:rPr>
        <w:t xml:space="preserve"> unto </w:t>
      </w:r>
      <w:r w:rsidR="00C514A6">
        <w:rPr>
          <w:rFonts w:ascii="Times New Roman" w:hAnsi="Times New Roman" w:cs="Times New Roman"/>
          <w:sz w:val="24"/>
        </w:rPr>
        <w:t xml:space="preserve">so rare a </w:t>
      </w:r>
      <w:proofErr w:type="spellStart"/>
      <w:r w:rsidR="00C514A6">
        <w:rPr>
          <w:rFonts w:ascii="Times New Roman" w:hAnsi="Times New Roman" w:cs="Times New Roman"/>
          <w:sz w:val="24"/>
        </w:rPr>
        <w:t>beawtie</w:t>
      </w:r>
      <w:proofErr w:type="spellEnd"/>
      <w:r w:rsidR="00C514A6">
        <w:rPr>
          <w:rFonts w:ascii="Times New Roman" w:hAnsi="Times New Roman" w:cs="Times New Roman"/>
          <w:sz w:val="24"/>
        </w:rPr>
        <w:t xml:space="preserve">, that when she </w:t>
      </w:r>
      <w:proofErr w:type="gramStart"/>
      <w:r w:rsidR="00C514A6">
        <w:rPr>
          <w:rFonts w:ascii="Times New Roman" w:hAnsi="Times New Roman" w:cs="Times New Roman"/>
          <w:sz w:val="24"/>
        </w:rPr>
        <w:t>were</w:t>
      </w:r>
      <w:proofErr w:type="gramEnd"/>
      <w:r w:rsidR="00C514A6">
        <w:rPr>
          <w:rFonts w:ascii="Times New Roman" w:hAnsi="Times New Roman" w:cs="Times New Roman"/>
          <w:sz w:val="24"/>
        </w:rPr>
        <w:t xml:space="preserve"> with Antonius</w:t>
      </w:r>
      <w:r w:rsidR="00AB79C1">
        <w:rPr>
          <w:rFonts w:ascii="Times New Roman" w:hAnsi="Times New Roman" w:cs="Times New Roman"/>
          <w:sz w:val="24"/>
        </w:rPr>
        <w:t xml:space="preserve"> (he loving her as so worthy a </w:t>
      </w:r>
      <w:proofErr w:type="spellStart"/>
      <w:r w:rsidR="00AB79C1">
        <w:rPr>
          <w:rFonts w:ascii="Times New Roman" w:hAnsi="Times New Roman" w:cs="Times New Roman"/>
          <w:sz w:val="24"/>
        </w:rPr>
        <w:t>Ladie</w:t>
      </w:r>
      <w:proofErr w:type="spellEnd"/>
      <w:r w:rsidR="00AB79C1">
        <w:rPr>
          <w:rFonts w:ascii="Times New Roman" w:hAnsi="Times New Roman" w:cs="Times New Roman"/>
          <w:sz w:val="24"/>
        </w:rPr>
        <w:t xml:space="preserve"> </w:t>
      </w:r>
      <w:proofErr w:type="spellStart"/>
      <w:r w:rsidR="00AB79C1">
        <w:rPr>
          <w:rFonts w:ascii="Times New Roman" w:hAnsi="Times New Roman" w:cs="Times New Roman"/>
          <w:sz w:val="24"/>
        </w:rPr>
        <w:t>deserveth</w:t>
      </w:r>
      <w:proofErr w:type="spellEnd"/>
      <w:r w:rsidR="00AB79C1">
        <w:rPr>
          <w:rFonts w:ascii="Times New Roman" w:hAnsi="Times New Roman" w:cs="Times New Roman"/>
          <w:sz w:val="24"/>
        </w:rPr>
        <w:t>)</w:t>
      </w:r>
      <w:r w:rsidR="003E5846">
        <w:rPr>
          <w:rFonts w:ascii="Times New Roman" w:hAnsi="Times New Roman" w:cs="Times New Roman"/>
          <w:sz w:val="24"/>
        </w:rPr>
        <w:t xml:space="preserve"> she should</w:t>
      </w:r>
      <w:r w:rsidR="002D32C1">
        <w:rPr>
          <w:rFonts w:ascii="Times New Roman" w:hAnsi="Times New Roman" w:cs="Times New Roman"/>
          <w:sz w:val="24"/>
        </w:rPr>
        <w:t>…</w:t>
      </w:r>
      <w:proofErr w:type="spellStart"/>
      <w:r w:rsidR="00D421D9">
        <w:rPr>
          <w:rFonts w:ascii="Times New Roman" w:hAnsi="Times New Roman" w:cs="Times New Roman"/>
          <w:sz w:val="24"/>
        </w:rPr>
        <w:t>keepe</w:t>
      </w:r>
      <w:proofErr w:type="spellEnd"/>
      <w:r w:rsidR="00D421D9">
        <w:rPr>
          <w:rFonts w:ascii="Times New Roman" w:hAnsi="Times New Roman" w:cs="Times New Roman"/>
          <w:sz w:val="24"/>
        </w:rPr>
        <w:t xml:space="preserve"> good love and </w:t>
      </w:r>
      <w:proofErr w:type="spellStart"/>
      <w:r w:rsidR="00D421D9">
        <w:rPr>
          <w:rFonts w:ascii="Times New Roman" w:hAnsi="Times New Roman" w:cs="Times New Roman"/>
          <w:sz w:val="24"/>
        </w:rPr>
        <w:t>amit</w:t>
      </w:r>
      <w:r w:rsidR="00EE422D">
        <w:rPr>
          <w:rFonts w:ascii="Times New Roman" w:hAnsi="Times New Roman" w:cs="Times New Roman"/>
          <w:sz w:val="24"/>
        </w:rPr>
        <w:t>ie</w:t>
      </w:r>
      <w:proofErr w:type="spellEnd"/>
      <w:r w:rsidR="00EE422D">
        <w:rPr>
          <w:rFonts w:ascii="Times New Roman" w:hAnsi="Times New Roman" w:cs="Times New Roman"/>
          <w:sz w:val="24"/>
        </w:rPr>
        <w:t xml:space="preserve"> betwixt her brother and him.</w:t>
      </w:r>
      <w:r w:rsidR="00DC0CBE">
        <w:rPr>
          <w:rStyle w:val="FootnoteReference"/>
          <w:rFonts w:ascii="Times New Roman" w:hAnsi="Times New Roman" w:cs="Times New Roman"/>
          <w:sz w:val="24"/>
        </w:rPr>
        <w:footnoteReference w:id="107"/>
      </w:r>
    </w:p>
    <w:p w14:paraId="1571501A" w14:textId="33CADD44" w:rsidR="00DC0CBE" w:rsidRDefault="00DC0CBE" w:rsidP="002D58FB">
      <w:pPr>
        <w:spacing w:line="240" w:lineRule="auto"/>
        <w:jc w:val="both"/>
        <w:rPr>
          <w:rFonts w:ascii="Times New Roman" w:hAnsi="Times New Roman" w:cs="Times New Roman"/>
          <w:sz w:val="24"/>
        </w:rPr>
      </w:pPr>
      <w:r>
        <w:rPr>
          <w:rFonts w:ascii="Times New Roman" w:hAnsi="Times New Roman" w:cs="Times New Roman"/>
          <w:sz w:val="24"/>
        </w:rPr>
        <w:t>Antony’s return to Cleopatra is not described in terms of Cleopatra’s merits or Octavia’s weaknesses, but is ascribed to Antony</w:t>
      </w:r>
      <w:r w:rsidR="00E03AEE">
        <w:rPr>
          <w:rFonts w:ascii="Times New Roman" w:hAnsi="Times New Roman" w:cs="Times New Roman"/>
          <w:sz w:val="24"/>
        </w:rPr>
        <w:t>’s inability</w:t>
      </w:r>
      <w:r>
        <w:rPr>
          <w:rFonts w:ascii="Times New Roman" w:hAnsi="Times New Roman" w:cs="Times New Roman"/>
          <w:sz w:val="24"/>
        </w:rPr>
        <w:t xml:space="preserve"> to suppress ‘the </w:t>
      </w:r>
      <w:proofErr w:type="spellStart"/>
      <w:r w:rsidR="00AA41E6">
        <w:rPr>
          <w:rFonts w:ascii="Times New Roman" w:hAnsi="Times New Roman" w:cs="Times New Roman"/>
          <w:sz w:val="24"/>
        </w:rPr>
        <w:t>unreyned</w:t>
      </w:r>
      <w:proofErr w:type="spellEnd"/>
      <w:r w:rsidR="00AA41E6">
        <w:rPr>
          <w:rFonts w:ascii="Times New Roman" w:hAnsi="Times New Roman" w:cs="Times New Roman"/>
          <w:sz w:val="24"/>
        </w:rPr>
        <w:t xml:space="preserve"> lust of concupi</w:t>
      </w:r>
      <w:r w:rsidR="00A21A1D">
        <w:rPr>
          <w:rFonts w:ascii="Times New Roman" w:hAnsi="Times New Roman" w:cs="Times New Roman"/>
          <w:sz w:val="24"/>
        </w:rPr>
        <w:t>scence</w:t>
      </w:r>
      <w:r>
        <w:rPr>
          <w:rFonts w:ascii="Times New Roman" w:hAnsi="Times New Roman" w:cs="Times New Roman"/>
          <w:sz w:val="24"/>
        </w:rPr>
        <w:t>.’</w:t>
      </w:r>
      <w:r>
        <w:rPr>
          <w:rStyle w:val="FootnoteReference"/>
          <w:rFonts w:ascii="Times New Roman" w:hAnsi="Times New Roman" w:cs="Times New Roman"/>
          <w:sz w:val="24"/>
        </w:rPr>
        <w:footnoteReference w:id="108"/>
      </w:r>
      <w:r>
        <w:rPr>
          <w:rFonts w:ascii="Times New Roman" w:hAnsi="Times New Roman" w:cs="Times New Roman"/>
          <w:sz w:val="24"/>
        </w:rPr>
        <w:t xml:space="preserve"> Shakespeare, therefore, presents a radical reassessment of Antony’s motivation, allowing the audience to understand his rejection of Octavia</w:t>
      </w:r>
      <w:r w:rsidR="00A526DC">
        <w:rPr>
          <w:rFonts w:ascii="Times New Roman" w:hAnsi="Times New Roman" w:cs="Times New Roman"/>
          <w:sz w:val="24"/>
        </w:rPr>
        <w:t>, and thus of normative female virtue,</w:t>
      </w:r>
      <w:r>
        <w:rPr>
          <w:rFonts w:ascii="Times New Roman" w:hAnsi="Times New Roman" w:cs="Times New Roman"/>
          <w:sz w:val="24"/>
        </w:rPr>
        <w:t xml:space="preserve"> in more sympathetic terms than the ones found in either Brandon or Plutarch.</w:t>
      </w:r>
    </w:p>
    <w:p w14:paraId="741F070A" w14:textId="3CF40A33" w:rsidR="0004663D" w:rsidRDefault="0004663D" w:rsidP="002D58FB">
      <w:pPr>
        <w:spacing w:line="240" w:lineRule="auto"/>
        <w:jc w:val="both"/>
        <w:rPr>
          <w:rFonts w:ascii="Times New Roman" w:hAnsi="Times New Roman" w:cs="Times New Roman"/>
          <w:sz w:val="24"/>
        </w:rPr>
      </w:pPr>
      <w:r w:rsidRPr="001A42C0">
        <w:rPr>
          <w:rFonts w:ascii="Times New Roman" w:hAnsi="Times New Roman" w:cs="Times New Roman"/>
          <w:sz w:val="24"/>
        </w:rPr>
        <w:t>This</w:t>
      </w:r>
      <w:r>
        <w:rPr>
          <w:rFonts w:ascii="Times New Roman" w:hAnsi="Times New Roman" w:cs="Times New Roman"/>
          <w:sz w:val="24"/>
        </w:rPr>
        <w:t xml:space="preserve"> has striking similarities with</w:t>
      </w:r>
      <w:r w:rsidR="003F7452">
        <w:rPr>
          <w:rFonts w:ascii="Times New Roman" w:hAnsi="Times New Roman" w:cs="Times New Roman"/>
          <w:sz w:val="24"/>
        </w:rPr>
        <w:t xml:space="preserve"> Marlowe’s</w:t>
      </w:r>
      <w:r>
        <w:rPr>
          <w:rFonts w:ascii="Times New Roman" w:hAnsi="Times New Roman" w:cs="Times New Roman"/>
          <w:sz w:val="24"/>
        </w:rPr>
        <w:t xml:space="preserve"> Aeneas’ rejection of Dido. Aeneas,</w:t>
      </w:r>
      <w:r w:rsidR="00473DD5">
        <w:rPr>
          <w:rFonts w:ascii="Times New Roman" w:hAnsi="Times New Roman" w:cs="Times New Roman"/>
          <w:sz w:val="24"/>
        </w:rPr>
        <w:t xml:space="preserve"> </w:t>
      </w:r>
      <w:r>
        <w:rPr>
          <w:rFonts w:ascii="Times New Roman" w:hAnsi="Times New Roman" w:cs="Times New Roman"/>
          <w:sz w:val="24"/>
        </w:rPr>
        <w:t xml:space="preserve">troubled by his personal obligations to Dido, </w:t>
      </w:r>
      <w:r w:rsidR="00473DD5">
        <w:rPr>
          <w:rFonts w:ascii="Times New Roman" w:hAnsi="Times New Roman" w:cs="Times New Roman"/>
          <w:sz w:val="24"/>
        </w:rPr>
        <w:t>is immediately repulsed by</w:t>
      </w:r>
      <w:r>
        <w:rPr>
          <w:rFonts w:ascii="Times New Roman" w:hAnsi="Times New Roman" w:cs="Times New Roman"/>
          <w:sz w:val="24"/>
        </w:rPr>
        <w:t xml:space="preserve"> what he predicts will be Dido’s overbearing farewell:</w:t>
      </w:r>
    </w:p>
    <w:p w14:paraId="655DF421" w14:textId="77777777" w:rsidR="0004663D" w:rsidRDefault="0004663D"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Her silver arms will </w:t>
      </w:r>
      <w:proofErr w:type="spellStart"/>
      <w:r>
        <w:rPr>
          <w:rFonts w:ascii="Times New Roman" w:hAnsi="Times New Roman" w:cs="Times New Roman"/>
          <w:sz w:val="24"/>
        </w:rPr>
        <w:t>coll</w:t>
      </w:r>
      <w:proofErr w:type="spellEnd"/>
      <w:r>
        <w:rPr>
          <w:rFonts w:ascii="Times New Roman" w:hAnsi="Times New Roman" w:cs="Times New Roman"/>
          <w:sz w:val="24"/>
        </w:rPr>
        <w:t xml:space="preserve"> me round about,</w:t>
      </w:r>
    </w:p>
    <w:p w14:paraId="606B8C99" w14:textId="77777777" w:rsidR="0004663D" w:rsidRDefault="0004663D" w:rsidP="002D58FB">
      <w:pPr>
        <w:spacing w:line="240" w:lineRule="auto"/>
        <w:ind w:left="720"/>
        <w:jc w:val="both"/>
        <w:rPr>
          <w:rFonts w:ascii="Times New Roman" w:hAnsi="Times New Roman" w:cs="Times New Roman"/>
          <w:sz w:val="24"/>
        </w:rPr>
      </w:pPr>
      <w:r>
        <w:rPr>
          <w:rFonts w:ascii="Times New Roman" w:hAnsi="Times New Roman" w:cs="Times New Roman"/>
          <w:sz w:val="24"/>
        </w:rPr>
        <w:t>And tears of pearl cry, ‘Stay, Aeneas, stay!’</w:t>
      </w:r>
    </w:p>
    <w:p w14:paraId="18FDB807" w14:textId="77777777" w:rsidR="0004663D" w:rsidRDefault="0004663D" w:rsidP="002D58FB">
      <w:pPr>
        <w:spacing w:line="240" w:lineRule="auto"/>
        <w:ind w:left="720"/>
        <w:jc w:val="both"/>
        <w:rPr>
          <w:rFonts w:ascii="Times New Roman" w:hAnsi="Times New Roman" w:cs="Times New Roman"/>
          <w:sz w:val="24"/>
        </w:rPr>
      </w:pPr>
      <w:r>
        <w:rPr>
          <w:rFonts w:ascii="Times New Roman" w:hAnsi="Times New Roman" w:cs="Times New Roman"/>
          <w:sz w:val="24"/>
        </w:rPr>
        <w:t>Each word she says will then contain a crown,</w:t>
      </w:r>
    </w:p>
    <w:p w14:paraId="5889B457" w14:textId="77777777" w:rsidR="0004663D" w:rsidRDefault="0004663D" w:rsidP="002D58FB">
      <w:pPr>
        <w:spacing w:line="240" w:lineRule="auto"/>
        <w:ind w:left="720"/>
        <w:jc w:val="both"/>
        <w:rPr>
          <w:rFonts w:ascii="Times New Roman" w:hAnsi="Times New Roman" w:cs="Times New Roman"/>
          <w:sz w:val="24"/>
        </w:rPr>
      </w:pPr>
      <w:r>
        <w:rPr>
          <w:rFonts w:ascii="Times New Roman" w:hAnsi="Times New Roman" w:cs="Times New Roman"/>
          <w:sz w:val="24"/>
        </w:rPr>
        <w:t>And every speech be ended with a kiss:</w:t>
      </w:r>
    </w:p>
    <w:p w14:paraId="35D8589B" w14:textId="77777777" w:rsidR="0004663D" w:rsidRDefault="0004663D"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I may not </w:t>
      </w:r>
      <w:proofErr w:type="spellStart"/>
      <w:r>
        <w:rPr>
          <w:rFonts w:ascii="Times New Roman" w:hAnsi="Times New Roman" w:cs="Times New Roman"/>
          <w:sz w:val="24"/>
        </w:rPr>
        <w:t>dure</w:t>
      </w:r>
      <w:proofErr w:type="spellEnd"/>
      <w:r>
        <w:rPr>
          <w:rFonts w:ascii="Times New Roman" w:hAnsi="Times New Roman" w:cs="Times New Roman"/>
          <w:sz w:val="24"/>
        </w:rPr>
        <w:t xml:space="preserve"> this female drudgery.</w:t>
      </w:r>
      <w:r>
        <w:rPr>
          <w:rStyle w:val="FootnoteReference"/>
          <w:rFonts w:ascii="Times New Roman" w:hAnsi="Times New Roman" w:cs="Times New Roman"/>
          <w:sz w:val="24"/>
        </w:rPr>
        <w:footnoteReference w:id="109"/>
      </w:r>
    </w:p>
    <w:p w14:paraId="72B27DEE" w14:textId="5A98C2CF" w:rsidR="000D71ED" w:rsidRDefault="0004663D" w:rsidP="002D58FB">
      <w:pPr>
        <w:spacing w:line="240" w:lineRule="auto"/>
        <w:jc w:val="both"/>
        <w:rPr>
          <w:rFonts w:ascii="Times New Roman" w:hAnsi="Times New Roman" w:cs="Times New Roman"/>
          <w:sz w:val="24"/>
        </w:rPr>
      </w:pPr>
      <w:r>
        <w:rPr>
          <w:rFonts w:ascii="Times New Roman" w:hAnsi="Times New Roman" w:cs="Times New Roman"/>
          <w:sz w:val="24"/>
        </w:rPr>
        <w:t>Th</w:t>
      </w:r>
      <w:r w:rsidR="00F87B35">
        <w:rPr>
          <w:rFonts w:ascii="Times New Roman" w:hAnsi="Times New Roman" w:cs="Times New Roman"/>
          <w:sz w:val="24"/>
        </w:rPr>
        <w:t>is</w:t>
      </w:r>
      <w:r>
        <w:rPr>
          <w:rFonts w:ascii="Times New Roman" w:hAnsi="Times New Roman" w:cs="Times New Roman"/>
          <w:sz w:val="24"/>
        </w:rPr>
        <w:t xml:space="preserve"> goodbye that Aeneas envisions Dido giving him is exactly the kind envisioned by those writers on female virtue who emphasise a woman’s dedication to her husband and recalls the</w:t>
      </w:r>
      <w:r w:rsidR="00CD71E7">
        <w:rPr>
          <w:rFonts w:ascii="Times New Roman" w:hAnsi="Times New Roman" w:cs="Times New Roman"/>
          <w:sz w:val="24"/>
        </w:rPr>
        <w:t xml:space="preserve"> pleading</w:t>
      </w:r>
      <w:r>
        <w:rPr>
          <w:rFonts w:ascii="Times New Roman" w:hAnsi="Times New Roman" w:cs="Times New Roman"/>
          <w:sz w:val="24"/>
        </w:rPr>
        <w:t xml:space="preserve"> goodbye of Cornelia to Pompey in </w:t>
      </w:r>
      <w:r>
        <w:rPr>
          <w:rFonts w:ascii="Times New Roman" w:hAnsi="Times New Roman" w:cs="Times New Roman"/>
          <w:i/>
          <w:sz w:val="24"/>
        </w:rPr>
        <w:t>Caesar’s Revenge</w:t>
      </w:r>
      <w:r>
        <w:rPr>
          <w:rFonts w:ascii="Times New Roman" w:hAnsi="Times New Roman" w:cs="Times New Roman"/>
          <w:sz w:val="24"/>
        </w:rPr>
        <w:t>.</w:t>
      </w:r>
      <w:r>
        <w:rPr>
          <w:rStyle w:val="FootnoteReference"/>
          <w:rFonts w:ascii="Times New Roman" w:hAnsi="Times New Roman" w:cs="Times New Roman"/>
          <w:sz w:val="24"/>
        </w:rPr>
        <w:footnoteReference w:id="110"/>
      </w:r>
      <w:r>
        <w:rPr>
          <w:rFonts w:ascii="Times New Roman" w:hAnsi="Times New Roman" w:cs="Times New Roman"/>
          <w:sz w:val="24"/>
        </w:rPr>
        <w:t xml:space="preserve"> </w:t>
      </w:r>
      <w:r w:rsidR="00EE3967">
        <w:rPr>
          <w:rFonts w:ascii="Times New Roman" w:hAnsi="Times New Roman" w:cs="Times New Roman"/>
          <w:sz w:val="24"/>
        </w:rPr>
        <w:t xml:space="preserve">Aeneas’ </w:t>
      </w:r>
      <w:r w:rsidR="00473DD5">
        <w:rPr>
          <w:rFonts w:ascii="Times New Roman" w:hAnsi="Times New Roman" w:cs="Times New Roman"/>
          <w:sz w:val="24"/>
        </w:rPr>
        <w:t>disgust</w:t>
      </w:r>
      <w:r w:rsidR="00EE3967">
        <w:rPr>
          <w:rFonts w:ascii="Times New Roman" w:hAnsi="Times New Roman" w:cs="Times New Roman"/>
          <w:sz w:val="24"/>
        </w:rPr>
        <w:t xml:space="preserve"> at the thought of the</w:t>
      </w:r>
      <w:r w:rsidR="00CD71E7">
        <w:rPr>
          <w:rFonts w:ascii="Times New Roman" w:hAnsi="Times New Roman" w:cs="Times New Roman"/>
          <w:sz w:val="24"/>
        </w:rPr>
        <w:t xml:space="preserve"> extravagant</w:t>
      </w:r>
      <w:r w:rsidR="00EE3967">
        <w:rPr>
          <w:rFonts w:ascii="Times New Roman" w:hAnsi="Times New Roman" w:cs="Times New Roman"/>
          <w:sz w:val="24"/>
        </w:rPr>
        <w:t xml:space="preserve"> farewell Dido will give him is similar to Antony’s infidelity, </w:t>
      </w:r>
      <w:r>
        <w:rPr>
          <w:rFonts w:ascii="Times New Roman" w:hAnsi="Times New Roman" w:cs="Times New Roman"/>
          <w:sz w:val="24"/>
        </w:rPr>
        <w:t xml:space="preserve">therefore, </w:t>
      </w:r>
      <w:r w:rsidR="00EE3967">
        <w:rPr>
          <w:rFonts w:ascii="Times New Roman" w:hAnsi="Times New Roman" w:cs="Times New Roman"/>
          <w:sz w:val="24"/>
        </w:rPr>
        <w:t>in that they are both characterised by a male rejection of normative female virtu</w:t>
      </w:r>
      <w:r w:rsidR="000D7E6E">
        <w:rPr>
          <w:rFonts w:ascii="Times New Roman" w:hAnsi="Times New Roman" w:cs="Times New Roman"/>
          <w:sz w:val="24"/>
        </w:rPr>
        <w:t>ous</w:t>
      </w:r>
      <w:r w:rsidR="00EE3967">
        <w:rPr>
          <w:rFonts w:ascii="Times New Roman" w:hAnsi="Times New Roman" w:cs="Times New Roman"/>
          <w:sz w:val="24"/>
        </w:rPr>
        <w:t xml:space="preserve"> conduct</w:t>
      </w:r>
      <w:r>
        <w:rPr>
          <w:rFonts w:ascii="Times New Roman" w:hAnsi="Times New Roman" w:cs="Times New Roman"/>
          <w:sz w:val="24"/>
        </w:rPr>
        <w:t>.</w:t>
      </w:r>
      <w:r w:rsidR="007428DC">
        <w:rPr>
          <w:rFonts w:ascii="Times New Roman" w:hAnsi="Times New Roman" w:cs="Times New Roman"/>
          <w:sz w:val="24"/>
        </w:rPr>
        <w:t xml:space="preserve"> </w:t>
      </w:r>
      <w:r w:rsidR="00EE3967">
        <w:rPr>
          <w:rFonts w:ascii="Times New Roman" w:hAnsi="Times New Roman" w:cs="Times New Roman"/>
          <w:sz w:val="24"/>
        </w:rPr>
        <w:t>T</w:t>
      </w:r>
      <w:r w:rsidR="004A558E">
        <w:rPr>
          <w:rFonts w:ascii="Times New Roman" w:hAnsi="Times New Roman" w:cs="Times New Roman"/>
          <w:sz w:val="24"/>
        </w:rPr>
        <w:t xml:space="preserve">he </w:t>
      </w:r>
      <w:r w:rsidR="00EE3967">
        <w:rPr>
          <w:rFonts w:ascii="Times New Roman" w:hAnsi="Times New Roman" w:cs="Times New Roman"/>
          <w:sz w:val="24"/>
        </w:rPr>
        <w:t>declarations</w:t>
      </w:r>
      <w:r w:rsidR="004A558E">
        <w:rPr>
          <w:rFonts w:ascii="Times New Roman" w:hAnsi="Times New Roman" w:cs="Times New Roman"/>
          <w:sz w:val="24"/>
        </w:rPr>
        <w:t xml:space="preserve"> of</w:t>
      </w:r>
      <w:r w:rsidR="00D32C24">
        <w:rPr>
          <w:rFonts w:ascii="Times New Roman" w:hAnsi="Times New Roman" w:cs="Times New Roman"/>
          <w:sz w:val="24"/>
        </w:rPr>
        <w:t xml:space="preserve"> the Elizabethan moralists</w:t>
      </w:r>
      <w:r w:rsidR="007428DC">
        <w:rPr>
          <w:rFonts w:ascii="Times New Roman" w:hAnsi="Times New Roman" w:cs="Times New Roman"/>
          <w:sz w:val="24"/>
        </w:rPr>
        <w:t>,</w:t>
      </w:r>
      <w:r w:rsidR="00D32C24">
        <w:rPr>
          <w:rFonts w:ascii="Times New Roman" w:hAnsi="Times New Roman" w:cs="Times New Roman"/>
          <w:sz w:val="24"/>
        </w:rPr>
        <w:t xml:space="preserve"> </w:t>
      </w:r>
      <w:r w:rsidR="004A558E">
        <w:rPr>
          <w:rFonts w:ascii="Times New Roman" w:hAnsi="Times New Roman" w:cs="Times New Roman"/>
          <w:sz w:val="24"/>
        </w:rPr>
        <w:t>whose</w:t>
      </w:r>
      <w:r w:rsidR="00D32C24">
        <w:rPr>
          <w:rFonts w:ascii="Times New Roman" w:hAnsi="Times New Roman" w:cs="Times New Roman"/>
          <w:sz w:val="24"/>
        </w:rPr>
        <w:t xml:space="preserve"> advice about virtue was conceived of as being practically applicable, </w:t>
      </w:r>
      <w:r w:rsidR="00EE3967">
        <w:rPr>
          <w:rFonts w:ascii="Times New Roman" w:hAnsi="Times New Roman" w:cs="Times New Roman"/>
          <w:sz w:val="24"/>
        </w:rPr>
        <w:t xml:space="preserve">emphasised </w:t>
      </w:r>
      <w:r w:rsidR="00D32C24">
        <w:rPr>
          <w:rFonts w:ascii="Times New Roman" w:hAnsi="Times New Roman" w:cs="Times New Roman"/>
          <w:sz w:val="24"/>
        </w:rPr>
        <w:t xml:space="preserve">that </w:t>
      </w:r>
      <w:r w:rsidR="00EE3967">
        <w:rPr>
          <w:rFonts w:ascii="Times New Roman" w:hAnsi="Times New Roman" w:cs="Times New Roman"/>
          <w:sz w:val="24"/>
        </w:rPr>
        <w:t xml:space="preserve">by </w:t>
      </w:r>
      <w:r w:rsidR="00D32C24">
        <w:rPr>
          <w:rFonts w:ascii="Times New Roman" w:hAnsi="Times New Roman" w:cs="Times New Roman"/>
          <w:sz w:val="24"/>
        </w:rPr>
        <w:t>following their instruction</w:t>
      </w:r>
      <w:r w:rsidR="00BC7813">
        <w:rPr>
          <w:rFonts w:ascii="Times New Roman" w:hAnsi="Times New Roman" w:cs="Times New Roman"/>
          <w:sz w:val="24"/>
        </w:rPr>
        <w:t>s</w:t>
      </w:r>
      <w:r w:rsidR="00D32C24">
        <w:rPr>
          <w:rFonts w:ascii="Times New Roman" w:hAnsi="Times New Roman" w:cs="Times New Roman"/>
          <w:sz w:val="24"/>
        </w:rPr>
        <w:t xml:space="preserve"> a wife would keep h</w:t>
      </w:r>
      <w:r w:rsidR="00BC7813">
        <w:rPr>
          <w:rFonts w:ascii="Times New Roman" w:hAnsi="Times New Roman" w:cs="Times New Roman"/>
          <w:sz w:val="24"/>
        </w:rPr>
        <w:t>er husband</w:t>
      </w:r>
      <w:r w:rsidR="00D32C24">
        <w:rPr>
          <w:rFonts w:ascii="Times New Roman" w:hAnsi="Times New Roman" w:cs="Times New Roman"/>
          <w:sz w:val="24"/>
        </w:rPr>
        <w:t xml:space="preserve"> </w:t>
      </w:r>
      <w:r w:rsidR="007428DC">
        <w:rPr>
          <w:rFonts w:ascii="Times New Roman" w:hAnsi="Times New Roman" w:cs="Times New Roman"/>
          <w:sz w:val="24"/>
        </w:rPr>
        <w:t>loyal to</w:t>
      </w:r>
      <w:r w:rsidR="00D32C24">
        <w:rPr>
          <w:rFonts w:ascii="Times New Roman" w:hAnsi="Times New Roman" w:cs="Times New Roman"/>
          <w:sz w:val="24"/>
        </w:rPr>
        <w:t xml:space="preserve"> her.</w:t>
      </w:r>
      <w:r w:rsidR="00D32C24">
        <w:rPr>
          <w:rStyle w:val="FootnoteReference"/>
          <w:rFonts w:ascii="Times New Roman" w:hAnsi="Times New Roman" w:cs="Times New Roman"/>
          <w:sz w:val="24"/>
        </w:rPr>
        <w:footnoteReference w:id="111"/>
      </w:r>
      <w:r w:rsidR="00D32C24">
        <w:rPr>
          <w:rFonts w:ascii="Times New Roman" w:hAnsi="Times New Roman" w:cs="Times New Roman"/>
          <w:sz w:val="24"/>
        </w:rPr>
        <w:t xml:space="preserve"> Octavia and Dido show that this </w:t>
      </w:r>
      <w:r w:rsidR="00535D93">
        <w:rPr>
          <w:rFonts w:ascii="Times New Roman" w:hAnsi="Times New Roman" w:cs="Times New Roman"/>
          <w:sz w:val="24"/>
        </w:rPr>
        <w:t>was</w:t>
      </w:r>
      <w:r w:rsidR="00D32C24">
        <w:rPr>
          <w:rFonts w:ascii="Times New Roman" w:hAnsi="Times New Roman" w:cs="Times New Roman"/>
          <w:sz w:val="24"/>
        </w:rPr>
        <w:t xml:space="preserve"> not necessarily </w:t>
      </w:r>
      <w:r w:rsidR="00535D93">
        <w:rPr>
          <w:rFonts w:ascii="Times New Roman" w:hAnsi="Times New Roman" w:cs="Times New Roman"/>
          <w:sz w:val="24"/>
        </w:rPr>
        <w:t>perceived to be true</w:t>
      </w:r>
      <w:r w:rsidR="001A7ECA">
        <w:rPr>
          <w:rFonts w:ascii="Times New Roman" w:hAnsi="Times New Roman" w:cs="Times New Roman"/>
          <w:sz w:val="24"/>
        </w:rPr>
        <w:t>.</w:t>
      </w:r>
      <w:r w:rsidR="007428DC">
        <w:rPr>
          <w:rFonts w:ascii="Times New Roman" w:hAnsi="Times New Roman" w:cs="Times New Roman"/>
          <w:sz w:val="24"/>
        </w:rPr>
        <w:t xml:space="preserve"> </w:t>
      </w:r>
    </w:p>
    <w:p w14:paraId="0C21D321" w14:textId="686D825C" w:rsidR="007428DC" w:rsidRDefault="00D32C24" w:rsidP="002D58FB">
      <w:pPr>
        <w:spacing w:line="240" w:lineRule="auto"/>
        <w:jc w:val="both"/>
        <w:rPr>
          <w:rFonts w:ascii="Times New Roman" w:hAnsi="Times New Roman" w:cs="Times New Roman"/>
          <w:sz w:val="24"/>
        </w:rPr>
      </w:pPr>
      <w:r>
        <w:rPr>
          <w:rFonts w:ascii="Times New Roman" w:hAnsi="Times New Roman" w:cs="Times New Roman"/>
          <w:sz w:val="24"/>
        </w:rPr>
        <w:lastRenderedPageBreak/>
        <w:t>That said</w:t>
      </w:r>
      <w:r w:rsidR="000C65C5">
        <w:rPr>
          <w:rFonts w:ascii="Times New Roman" w:hAnsi="Times New Roman" w:cs="Times New Roman"/>
          <w:sz w:val="24"/>
        </w:rPr>
        <w:t xml:space="preserve">, </w:t>
      </w:r>
      <w:r w:rsidR="007C6F21">
        <w:rPr>
          <w:rFonts w:ascii="Times New Roman" w:hAnsi="Times New Roman" w:cs="Times New Roman"/>
          <w:sz w:val="24"/>
        </w:rPr>
        <w:t>Marlowe’s</w:t>
      </w:r>
      <w:r w:rsidR="000C65C5">
        <w:rPr>
          <w:rFonts w:ascii="Times New Roman" w:hAnsi="Times New Roman" w:cs="Times New Roman"/>
          <w:sz w:val="24"/>
        </w:rPr>
        <w:t xml:space="preserve"> questioning about the nature of female virtue only facilitates the progression of male public </w:t>
      </w:r>
      <w:r w:rsidR="00473DD5">
        <w:rPr>
          <w:rFonts w:ascii="Times New Roman" w:hAnsi="Times New Roman" w:cs="Times New Roman"/>
          <w:sz w:val="24"/>
        </w:rPr>
        <w:t>virtue</w:t>
      </w:r>
      <w:r w:rsidR="000C65C5">
        <w:rPr>
          <w:rFonts w:ascii="Times New Roman" w:hAnsi="Times New Roman" w:cs="Times New Roman"/>
          <w:sz w:val="24"/>
        </w:rPr>
        <w:t xml:space="preserve"> in Aeneas’ destiny to become the father of Rome. </w:t>
      </w:r>
      <w:r w:rsidR="0043601B">
        <w:rPr>
          <w:rFonts w:ascii="Times New Roman" w:hAnsi="Times New Roman" w:cs="Times New Roman"/>
          <w:sz w:val="24"/>
        </w:rPr>
        <w:t xml:space="preserve">In </w:t>
      </w:r>
      <w:r w:rsidR="00494971">
        <w:rPr>
          <w:rFonts w:ascii="Times New Roman" w:hAnsi="Times New Roman" w:cs="Times New Roman"/>
          <w:i/>
          <w:sz w:val="24"/>
        </w:rPr>
        <w:t>Dido</w:t>
      </w:r>
      <w:r w:rsidR="0043601B">
        <w:rPr>
          <w:rFonts w:ascii="Times New Roman" w:hAnsi="Times New Roman" w:cs="Times New Roman"/>
          <w:sz w:val="24"/>
        </w:rPr>
        <w:t>, one is left with the sense that there is no obvious moral path for women</w:t>
      </w:r>
      <w:r w:rsidR="00F17360">
        <w:rPr>
          <w:rFonts w:ascii="Times New Roman" w:hAnsi="Times New Roman" w:cs="Times New Roman"/>
          <w:sz w:val="24"/>
        </w:rPr>
        <w:t xml:space="preserve"> in power</w:t>
      </w:r>
      <w:r w:rsidR="0043601B">
        <w:rPr>
          <w:rFonts w:ascii="Times New Roman" w:hAnsi="Times New Roman" w:cs="Times New Roman"/>
          <w:sz w:val="24"/>
        </w:rPr>
        <w:t xml:space="preserve"> since an alternative to constancy is not provided. This perhaps reflects the </w:t>
      </w:r>
      <w:r w:rsidR="00BC7260">
        <w:rPr>
          <w:rFonts w:ascii="Times New Roman" w:hAnsi="Times New Roman" w:cs="Times New Roman"/>
          <w:sz w:val="24"/>
        </w:rPr>
        <w:t>fatalistic</w:t>
      </w:r>
      <w:r w:rsidR="0043601B">
        <w:rPr>
          <w:rFonts w:ascii="Times New Roman" w:hAnsi="Times New Roman" w:cs="Times New Roman"/>
          <w:sz w:val="24"/>
        </w:rPr>
        <w:t xml:space="preserve"> inclinations of the play, </w:t>
      </w:r>
      <w:r w:rsidR="00074603">
        <w:rPr>
          <w:rFonts w:ascii="Times New Roman" w:hAnsi="Times New Roman" w:cs="Times New Roman"/>
          <w:sz w:val="24"/>
        </w:rPr>
        <w:t>with</w:t>
      </w:r>
      <w:r w:rsidR="0043601B">
        <w:rPr>
          <w:rFonts w:ascii="Times New Roman" w:hAnsi="Times New Roman" w:cs="Times New Roman"/>
          <w:sz w:val="24"/>
        </w:rPr>
        <w:t xml:space="preserve"> its emphasis on </w:t>
      </w:r>
      <w:r w:rsidR="001016EF">
        <w:rPr>
          <w:rFonts w:ascii="Times New Roman" w:hAnsi="Times New Roman" w:cs="Times New Roman"/>
          <w:sz w:val="24"/>
        </w:rPr>
        <w:t>divine intervention</w:t>
      </w:r>
      <w:r w:rsidR="0043601B">
        <w:rPr>
          <w:rFonts w:ascii="Times New Roman" w:hAnsi="Times New Roman" w:cs="Times New Roman"/>
          <w:sz w:val="24"/>
        </w:rPr>
        <w:t xml:space="preserve">. </w:t>
      </w:r>
      <w:r w:rsidR="00234A2D">
        <w:rPr>
          <w:rFonts w:ascii="Times New Roman" w:hAnsi="Times New Roman" w:cs="Times New Roman"/>
          <w:sz w:val="24"/>
        </w:rPr>
        <w:t xml:space="preserve">However, </w:t>
      </w:r>
      <w:r w:rsidR="0043601B">
        <w:rPr>
          <w:rFonts w:ascii="Times New Roman" w:hAnsi="Times New Roman" w:cs="Times New Roman"/>
          <w:sz w:val="24"/>
        </w:rPr>
        <w:t>Shakespeare and, to a lesser degree, Samuel Daniel</w:t>
      </w:r>
      <w:r w:rsidR="009C57BA">
        <w:rPr>
          <w:rFonts w:ascii="Times New Roman" w:hAnsi="Times New Roman" w:cs="Times New Roman"/>
          <w:sz w:val="24"/>
        </w:rPr>
        <w:t>,</w:t>
      </w:r>
      <w:r w:rsidR="0043601B">
        <w:rPr>
          <w:rFonts w:ascii="Times New Roman" w:hAnsi="Times New Roman" w:cs="Times New Roman"/>
          <w:sz w:val="24"/>
        </w:rPr>
        <w:t xml:space="preserve"> in their plays about Cleopatra</w:t>
      </w:r>
      <w:r w:rsidR="009C57BA">
        <w:rPr>
          <w:rFonts w:ascii="Times New Roman" w:hAnsi="Times New Roman" w:cs="Times New Roman"/>
          <w:sz w:val="24"/>
        </w:rPr>
        <w:t>,</w:t>
      </w:r>
      <w:r w:rsidR="0043601B">
        <w:rPr>
          <w:rFonts w:ascii="Times New Roman" w:hAnsi="Times New Roman" w:cs="Times New Roman"/>
          <w:sz w:val="24"/>
        </w:rPr>
        <w:t xml:space="preserve"> suggest </w:t>
      </w:r>
      <w:r w:rsidR="00234A2D">
        <w:rPr>
          <w:rFonts w:ascii="Times New Roman" w:hAnsi="Times New Roman" w:cs="Times New Roman"/>
          <w:sz w:val="24"/>
        </w:rPr>
        <w:t xml:space="preserve">that there can be some virtue and dignity for women located outside of the usual private and personal conceptions of female morality. </w:t>
      </w:r>
    </w:p>
    <w:p w14:paraId="6AB7337C" w14:textId="08F1DD5F" w:rsidR="005F3CC1" w:rsidRDefault="00B94934" w:rsidP="002D58FB">
      <w:pPr>
        <w:spacing w:line="240" w:lineRule="auto"/>
        <w:jc w:val="both"/>
        <w:rPr>
          <w:rFonts w:ascii="Times New Roman" w:hAnsi="Times New Roman" w:cs="Times New Roman"/>
          <w:sz w:val="24"/>
        </w:rPr>
      </w:pPr>
      <w:r>
        <w:rPr>
          <w:rFonts w:ascii="Times New Roman" w:hAnsi="Times New Roman" w:cs="Times New Roman"/>
          <w:sz w:val="24"/>
        </w:rPr>
        <w:t xml:space="preserve">Samuel Daniel’s </w:t>
      </w:r>
      <w:r w:rsidR="007428DC">
        <w:rPr>
          <w:rFonts w:ascii="Times New Roman" w:hAnsi="Times New Roman" w:cs="Times New Roman"/>
          <w:sz w:val="24"/>
        </w:rPr>
        <w:t>Cleopatra</w:t>
      </w:r>
      <w:r>
        <w:rPr>
          <w:rFonts w:ascii="Times New Roman" w:hAnsi="Times New Roman" w:cs="Times New Roman"/>
          <w:sz w:val="24"/>
        </w:rPr>
        <w:t xml:space="preserve"> starts out as if </w:t>
      </w:r>
      <w:r w:rsidR="007428DC">
        <w:rPr>
          <w:rFonts w:ascii="Times New Roman" w:hAnsi="Times New Roman" w:cs="Times New Roman"/>
          <w:sz w:val="24"/>
        </w:rPr>
        <w:t>she</w:t>
      </w:r>
      <w:r>
        <w:rPr>
          <w:rFonts w:ascii="Times New Roman" w:hAnsi="Times New Roman" w:cs="Times New Roman"/>
          <w:sz w:val="24"/>
        </w:rPr>
        <w:t xml:space="preserve"> may come to the same conclusion as Sidney’s</w:t>
      </w:r>
      <w:r w:rsidR="00473DD5">
        <w:rPr>
          <w:rFonts w:ascii="Times New Roman" w:hAnsi="Times New Roman" w:cs="Times New Roman"/>
          <w:sz w:val="24"/>
        </w:rPr>
        <w:t>,</w:t>
      </w:r>
      <w:r>
        <w:rPr>
          <w:rFonts w:ascii="Times New Roman" w:hAnsi="Times New Roman" w:cs="Times New Roman"/>
          <w:sz w:val="24"/>
        </w:rPr>
        <w:t xml:space="preserve"> that she must commit suicide out of </w:t>
      </w:r>
      <w:r w:rsidR="0018146F">
        <w:rPr>
          <w:rFonts w:ascii="Times New Roman" w:hAnsi="Times New Roman" w:cs="Times New Roman"/>
          <w:sz w:val="24"/>
        </w:rPr>
        <w:t xml:space="preserve">the obligation of </w:t>
      </w:r>
      <w:r>
        <w:rPr>
          <w:rFonts w:ascii="Times New Roman" w:hAnsi="Times New Roman" w:cs="Times New Roman"/>
          <w:sz w:val="24"/>
        </w:rPr>
        <w:t>constan</w:t>
      </w:r>
      <w:r w:rsidR="0018146F">
        <w:rPr>
          <w:rFonts w:ascii="Times New Roman" w:hAnsi="Times New Roman" w:cs="Times New Roman"/>
          <w:sz w:val="24"/>
        </w:rPr>
        <w:t>t devotion</w:t>
      </w:r>
      <w:r>
        <w:rPr>
          <w:rFonts w:ascii="Times New Roman" w:hAnsi="Times New Roman" w:cs="Times New Roman"/>
          <w:sz w:val="24"/>
        </w:rPr>
        <w:t xml:space="preserve"> to Antony:</w:t>
      </w:r>
    </w:p>
    <w:p w14:paraId="3BF658CE" w14:textId="1B2ED126" w:rsidR="00B94934" w:rsidRDefault="00B94934"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If I should now (our common </w:t>
      </w:r>
      <w:proofErr w:type="spellStart"/>
      <w:r>
        <w:rPr>
          <w:rFonts w:ascii="Times New Roman" w:hAnsi="Times New Roman" w:cs="Times New Roman"/>
          <w:sz w:val="24"/>
        </w:rPr>
        <w:t>faulte</w:t>
      </w:r>
      <w:proofErr w:type="spellEnd"/>
      <w:r>
        <w:rPr>
          <w:rFonts w:ascii="Times New Roman" w:hAnsi="Times New Roman" w:cs="Times New Roman"/>
          <w:sz w:val="24"/>
        </w:rPr>
        <w:t>) survive,</w:t>
      </w:r>
    </w:p>
    <w:p w14:paraId="6998BE9E" w14:textId="4C873753" w:rsidR="00B94934" w:rsidRDefault="00B94934" w:rsidP="002D58FB">
      <w:pPr>
        <w:spacing w:line="240" w:lineRule="auto"/>
        <w:ind w:left="720"/>
        <w:jc w:val="both"/>
        <w:rPr>
          <w:rFonts w:ascii="Times New Roman" w:hAnsi="Times New Roman" w:cs="Times New Roman"/>
          <w:sz w:val="24"/>
        </w:rPr>
      </w:pPr>
      <w:r>
        <w:rPr>
          <w:rFonts w:ascii="Times New Roman" w:hAnsi="Times New Roman" w:cs="Times New Roman"/>
          <w:sz w:val="24"/>
        </w:rPr>
        <w:t>Then all the world</w:t>
      </w:r>
      <w:r w:rsidR="0018146F">
        <w:rPr>
          <w:rFonts w:ascii="Times New Roman" w:hAnsi="Times New Roman" w:cs="Times New Roman"/>
          <w:sz w:val="24"/>
        </w:rPr>
        <w:t xml:space="preserve"> must hate me if I </w:t>
      </w:r>
      <w:proofErr w:type="spellStart"/>
      <w:r w:rsidR="0018146F">
        <w:rPr>
          <w:rFonts w:ascii="Times New Roman" w:hAnsi="Times New Roman" w:cs="Times New Roman"/>
          <w:sz w:val="24"/>
        </w:rPr>
        <w:t>doe</w:t>
      </w:r>
      <w:proofErr w:type="spellEnd"/>
      <w:r w:rsidR="0018146F">
        <w:rPr>
          <w:rFonts w:ascii="Times New Roman" w:hAnsi="Times New Roman" w:cs="Times New Roman"/>
          <w:sz w:val="24"/>
        </w:rPr>
        <w:t xml:space="preserve"> it.</w:t>
      </w:r>
      <w:r w:rsidR="0018146F">
        <w:rPr>
          <w:rStyle w:val="FootnoteReference"/>
          <w:rFonts w:ascii="Times New Roman" w:hAnsi="Times New Roman" w:cs="Times New Roman"/>
          <w:sz w:val="24"/>
        </w:rPr>
        <w:footnoteReference w:id="112"/>
      </w:r>
    </w:p>
    <w:p w14:paraId="6BA94CEA" w14:textId="1701EF4F" w:rsidR="00E243FF" w:rsidRDefault="0018146F" w:rsidP="002D58FB">
      <w:pPr>
        <w:spacing w:line="240" w:lineRule="auto"/>
        <w:jc w:val="both"/>
        <w:rPr>
          <w:rFonts w:ascii="Times New Roman" w:hAnsi="Times New Roman" w:cs="Times New Roman"/>
          <w:sz w:val="24"/>
        </w:rPr>
      </w:pPr>
      <w:r>
        <w:rPr>
          <w:rFonts w:ascii="Times New Roman" w:hAnsi="Times New Roman" w:cs="Times New Roman"/>
          <w:sz w:val="24"/>
        </w:rPr>
        <w:t xml:space="preserve">However, the fact that Antony is already dead </w:t>
      </w:r>
      <w:r w:rsidR="00D746B3">
        <w:rPr>
          <w:rFonts w:ascii="Times New Roman" w:hAnsi="Times New Roman" w:cs="Times New Roman"/>
          <w:sz w:val="24"/>
        </w:rPr>
        <w:t xml:space="preserve">at the start of the play </w:t>
      </w:r>
      <w:r>
        <w:rPr>
          <w:rFonts w:ascii="Times New Roman" w:hAnsi="Times New Roman" w:cs="Times New Roman"/>
          <w:sz w:val="24"/>
        </w:rPr>
        <w:t xml:space="preserve">means that </w:t>
      </w:r>
      <w:r w:rsidR="00D746B3">
        <w:rPr>
          <w:rFonts w:ascii="Times New Roman" w:hAnsi="Times New Roman" w:cs="Times New Roman"/>
          <w:sz w:val="24"/>
        </w:rPr>
        <w:t xml:space="preserve">the possibility of </w:t>
      </w:r>
      <w:r w:rsidR="00BC7260">
        <w:rPr>
          <w:rFonts w:ascii="Times New Roman" w:hAnsi="Times New Roman" w:cs="Times New Roman"/>
          <w:sz w:val="24"/>
        </w:rPr>
        <w:t>Cleopatra’s</w:t>
      </w:r>
      <w:r w:rsidR="00D746B3">
        <w:rPr>
          <w:rFonts w:ascii="Times New Roman" w:hAnsi="Times New Roman" w:cs="Times New Roman"/>
          <w:sz w:val="24"/>
        </w:rPr>
        <w:t xml:space="preserve"> betrayal loses any dramatic immediacy and</w:t>
      </w:r>
      <w:r w:rsidR="00F87B35">
        <w:rPr>
          <w:rFonts w:ascii="Times New Roman" w:hAnsi="Times New Roman" w:cs="Times New Roman"/>
          <w:sz w:val="24"/>
        </w:rPr>
        <w:t>,</w:t>
      </w:r>
      <w:r w:rsidR="00D746B3">
        <w:rPr>
          <w:rFonts w:ascii="Times New Roman" w:hAnsi="Times New Roman" w:cs="Times New Roman"/>
          <w:sz w:val="24"/>
        </w:rPr>
        <w:t xml:space="preserve"> as the driving force behind her motivation, her children</w:t>
      </w:r>
      <w:r w:rsidR="00595C76">
        <w:rPr>
          <w:rFonts w:ascii="Times New Roman" w:hAnsi="Times New Roman" w:cs="Times New Roman"/>
          <w:sz w:val="24"/>
        </w:rPr>
        <w:t xml:space="preserve"> seem more important</w:t>
      </w:r>
      <w:r w:rsidR="002A61DB">
        <w:rPr>
          <w:rFonts w:ascii="Times New Roman" w:hAnsi="Times New Roman" w:cs="Times New Roman"/>
          <w:sz w:val="24"/>
        </w:rPr>
        <w:t xml:space="preserve"> </w:t>
      </w:r>
      <w:r w:rsidR="00D746B3">
        <w:rPr>
          <w:rFonts w:ascii="Times New Roman" w:hAnsi="Times New Roman" w:cs="Times New Roman"/>
          <w:sz w:val="24"/>
        </w:rPr>
        <w:t xml:space="preserve">with the murder of ‘Cesario’ (Caesarion) </w:t>
      </w:r>
      <w:r w:rsidR="00473DD5">
        <w:rPr>
          <w:rFonts w:ascii="Times New Roman" w:hAnsi="Times New Roman" w:cs="Times New Roman"/>
          <w:sz w:val="24"/>
        </w:rPr>
        <w:t>featuring heavily</w:t>
      </w:r>
      <w:r w:rsidR="00D746B3">
        <w:rPr>
          <w:rFonts w:ascii="Times New Roman" w:hAnsi="Times New Roman" w:cs="Times New Roman"/>
          <w:sz w:val="24"/>
        </w:rPr>
        <w:t>, in contrast to Shakespeare and Sidney’s versions.</w:t>
      </w:r>
      <w:r w:rsidR="00D746B3">
        <w:rPr>
          <w:rStyle w:val="FootnoteReference"/>
          <w:rFonts w:ascii="Times New Roman" w:hAnsi="Times New Roman" w:cs="Times New Roman"/>
          <w:sz w:val="24"/>
        </w:rPr>
        <w:footnoteReference w:id="113"/>
      </w:r>
      <w:r w:rsidR="00D746B3">
        <w:rPr>
          <w:rFonts w:ascii="Times New Roman" w:hAnsi="Times New Roman" w:cs="Times New Roman"/>
          <w:sz w:val="24"/>
        </w:rPr>
        <w:t xml:space="preserve"> </w:t>
      </w:r>
      <w:r w:rsidR="009C57BA">
        <w:rPr>
          <w:rFonts w:ascii="Times New Roman" w:hAnsi="Times New Roman" w:cs="Times New Roman"/>
          <w:sz w:val="24"/>
        </w:rPr>
        <w:t xml:space="preserve">This manifests itself in the impossible choice </w:t>
      </w:r>
      <w:r w:rsidR="00472CE7">
        <w:rPr>
          <w:rFonts w:ascii="Times New Roman" w:hAnsi="Times New Roman" w:cs="Times New Roman"/>
          <w:sz w:val="24"/>
        </w:rPr>
        <w:t xml:space="preserve">facing </w:t>
      </w:r>
      <w:r w:rsidR="009C57BA" w:rsidRPr="009C57BA">
        <w:rPr>
          <w:rFonts w:ascii="Times New Roman" w:hAnsi="Times New Roman" w:cs="Times New Roman"/>
          <w:sz w:val="24"/>
        </w:rPr>
        <w:t>Daniel’s</w:t>
      </w:r>
      <w:r w:rsidR="009C57BA">
        <w:rPr>
          <w:rFonts w:ascii="Times New Roman" w:hAnsi="Times New Roman" w:cs="Times New Roman"/>
          <w:sz w:val="24"/>
        </w:rPr>
        <w:t xml:space="preserve"> Cleopatra: if </w:t>
      </w:r>
      <w:r w:rsidR="00E243FF">
        <w:rPr>
          <w:rFonts w:ascii="Times New Roman" w:hAnsi="Times New Roman" w:cs="Times New Roman"/>
          <w:sz w:val="24"/>
        </w:rPr>
        <w:t>she wants to save her children’s lives, then she must agree to be led in triumph by Octavian. She says to her children</w:t>
      </w:r>
    </w:p>
    <w:p w14:paraId="4DC0626B" w14:textId="7B1D8604" w:rsidR="00E243FF" w:rsidRDefault="00E243FF" w:rsidP="002D58FB">
      <w:pPr>
        <w:spacing w:line="240" w:lineRule="auto"/>
        <w:ind w:left="720"/>
        <w:jc w:val="both"/>
        <w:rPr>
          <w:rFonts w:ascii="Times New Roman" w:hAnsi="Times New Roman" w:cs="Times New Roman"/>
          <w:sz w:val="24"/>
        </w:rPr>
      </w:pPr>
      <w:r>
        <w:rPr>
          <w:rFonts w:ascii="Times New Roman" w:hAnsi="Times New Roman" w:cs="Times New Roman"/>
          <w:sz w:val="24"/>
        </w:rPr>
        <w:t>It is for you I temporize with Caesar</w:t>
      </w:r>
    </w:p>
    <w:p w14:paraId="36AB46E8" w14:textId="2B32C948" w:rsidR="00E243FF" w:rsidRDefault="00E243FF" w:rsidP="002D58FB">
      <w:pPr>
        <w:spacing w:line="240" w:lineRule="auto"/>
        <w:ind w:left="720"/>
        <w:jc w:val="both"/>
        <w:rPr>
          <w:rFonts w:ascii="Times New Roman" w:hAnsi="Times New Roman" w:cs="Times New Roman"/>
          <w:sz w:val="24"/>
        </w:rPr>
      </w:pPr>
      <w:r>
        <w:rPr>
          <w:rFonts w:ascii="Times New Roman" w:hAnsi="Times New Roman" w:cs="Times New Roman"/>
          <w:sz w:val="24"/>
        </w:rPr>
        <w:t>And live this while to procure your safety.</w:t>
      </w:r>
      <w:r>
        <w:rPr>
          <w:rStyle w:val="FootnoteReference"/>
          <w:rFonts w:ascii="Times New Roman" w:hAnsi="Times New Roman" w:cs="Times New Roman"/>
          <w:sz w:val="24"/>
        </w:rPr>
        <w:footnoteReference w:id="114"/>
      </w:r>
    </w:p>
    <w:p w14:paraId="2600B650" w14:textId="1C635033" w:rsidR="00B94934" w:rsidRDefault="004A2A33" w:rsidP="002D58FB">
      <w:pPr>
        <w:spacing w:line="240" w:lineRule="auto"/>
        <w:jc w:val="both"/>
        <w:rPr>
          <w:rFonts w:ascii="Times New Roman" w:hAnsi="Times New Roman" w:cs="Times New Roman"/>
          <w:sz w:val="24"/>
        </w:rPr>
      </w:pPr>
      <w:r>
        <w:rPr>
          <w:rFonts w:ascii="Times New Roman" w:hAnsi="Times New Roman" w:cs="Times New Roman"/>
          <w:sz w:val="24"/>
        </w:rPr>
        <w:t xml:space="preserve">Cleopatra’s children are </w:t>
      </w:r>
      <w:r w:rsidR="00F3103C">
        <w:rPr>
          <w:rFonts w:ascii="Times New Roman" w:hAnsi="Times New Roman" w:cs="Times New Roman"/>
          <w:sz w:val="24"/>
        </w:rPr>
        <w:t>a</w:t>
      </w:r>
      <w:r>
        <w:rPr>
          <w:rFonts w:ascii="Times New Roman" w:hAnsi="Times New Roman" w:cs="Times New Roman"/>
          <w:sz w:val="24"/>
        </w:rPr>
        <w:t xml:space="preserve"> symbol of her personal duty as a mother, but also of her public duties as queen in that they are her successors, a fact continually alluded to throughout. Much is also made of Cleopatra’s own descendance from </w:t>
      </w:r>
      <w:r w:rsidR="00D02453">
        <w:rPr>
          <w:rFonts w:ascii="Times New Roman" w:hAnsi="Times New Roman" w:cs="Times New Roman"/>
          <w:sz w:val="24"/>
        </w:rPr>
        <w:t xml:space="preserve">the </w:t>
      </w:r>
      <w:r>
        <w:rPr>
          <w:rFonts w:ascii="Times New Roman" w:hAnsi="Times New Roman" w:cs="Times New Roman"/>
          <w:sz w:val="24"/>
        </w:rPr>
        <w:t>dynastic line of Ptolemies.</w:t>
      </w:r>
      <w:r>
        <w:rPr>
          <w:rStyle w:val="FootnoteReference"/>
          <w:rFonts w:ascii="Times New Roman" w:hAnsi="Times New Roman" w:cs="Times New Roman"/>
          <w:sz w:val="24"/>
        </w:rPr>
        <w:footnoteReference w:id="115"/>
      </w:r>
      <w:r w:rsidR="00D02453">
        <w:rPr>
          <w:rFonts w:ascii="Times New Roman" w:hAnsi="Times New Roman" w:cs="Times New Roman"/>
          <w:sz w:val="24"/>
        </w:rPr>
        <w:t xml:space="preserve"> The play ends with the chorus stating that Cleopatra’s suicide has ended</w:t>
      </w:r>
    </w:p>
    <w:p w14:paraId="550048F1" w14:textId="2D7F0C58" w:rsidR="00D02453" w:rsidRDefault="00D02453"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All </w:t>
      </w:r>
      <w:proofErr w:type="spellStart"/>
      <w:r>
        <w:rPr>
          <w:rFonts w:ascii="Times New Roman" w:hAnsi="Times New Roman" w:cs="Times New Roman"/>
          <w:sz w:val="24"/>
        </w:rPr>
        <w:t>th</w:t>
      </w:r>
      <w:proofErr w:type="spellEnd"/>
      <w:r>
        <w:rPr>
          <w:rFonts w:ascii="Times New Roman" w:hAnsi="Times New Roman" w:cs="Times New Roman"/>
          <w:sz w:val="24"/>
        </w:rPr>
        <w:t>’ issue of all those,</w:t>
      </w:r>
    </w:p>
    <w:p w14:paraId="7E094E6D" w14:textId="192BDE2D" w:rsidR="00D02453" w:rsidRDefault="00D02453"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That so long rule </w:t>
      </w:r>
      <w:proofErr w:type="gramStart"/>
      <w:r>
        <w:rPr>
          <w:rFonts w:ascii="Times New Roman" w:hAnsi="Times New Roman" w:cs="Times New Roman"/>
          <w:sz w:val="24"/>
        </w:rPr>
        <w:t>have</w:t>
      </w:r>
      <w:proofErr w:type="gramEnd"/>
      <w:r>
        <w:rPr>
          <w:rFonts w:ascii="Times New Roman" w:hAnsi="Times New Roman" w:cs="Times New Roman"/>
          <w:sz w:val="24"/>
        </w:rPr>
        <w:t xml:space="preserve"> </w:t>
      </w:r>
      <w:proofErr w:type="spellStart"/>
      <w:r>
        <w:rPr>
          <w:rFonts w:ascii="Times New Roman" w:hAnsi="Times New Roman" w:cs="Times New Roman"/>
          <w:sz w:val="24"/>
        </w:rPr>
        <w:t>hell’d</w:t>
      </w:r>
      <w:proofErr w:type="spellEnd"/>
      <w:r>
        <w:rPr>
          <w:rFonts w:ascii="Times New Roman" w:hAnsi="Times New Roman" w:cs="Times New Roman"/>
          <w:sz w:val="24"/>
        </w:rPr>
        <w:t>…</w:t>
      </w:r>
    </w:p>
    <w:p w14:paraId="73B9AAF8" w14:textId="6AACCB54" w:rsidR="00D02453" w:rsidRDefault="00D02453" w:rsidP="002D58FB">
      <w:pPr>
        <w:spacing w:line="240" w:lineRule="auto"/>
        <w:jc w:val="both"/>
        <w:rPr>
          <w:rFonts w:ascii="Times New Roman" w:hAnsi="Times New Roman" w:cs="Times New Roman"/>
          <w:sz w:val="24"/>
        </w:rPr>
      </w:pPr>
      <w:r>
        <w:rPr>
          <w:rFonts w:ascii="Times New Roman" w:hAnsi="Times New Roman" w:cs="Times New Roman"/>
          <w:sz w:val="24"/>
        </w:rPr>
        <w:t xml:space="preserve">The end of the Ptolemies </w:t>
      </w:r>
      <w:r w:rsidR="00B56266">
        <w:rPr>
          <w:rFonts w:ascii="Times New Roman" w:hAnsi="Times New Roman" w:cs="Times New Roman"/>
          <w:sz w:val="24"/>
        </w:rPr>
        <w:t>causes</w:t>
      </w:r>
      <w:r>
        <w:rPr>
          <w:rFonts w:ascii="Times New Roman" w:hAnsi="Times New Roman" w:cs="Times New Roman"/>
          <w:sz w:val="24"/>
        </w:rPr>
        <w:t xml:space="preserve"> the end of Egypt since this ‘make[s] us no more us’, marking the beginning of Roman tyranny.</w:t>
      </w:r>
      <w:r>
        <w:rPr>
          <w:rStyle w:val="FootnoteReference"/>
          <w:rFonts w:ascii="Times New Roman" w:hAnsi="Times New Roman" w:cs="Times New Roman"/>
          <w:sz w:val="24"/>
        </w:rPr>
        <w:footnoteReference w:id="116"/>
      </w:r>
      <w:r w:rsidR="00036CC3">
        <w:rPr>
          <w:rFonts w:ascii="Times New Roman" w:hAnsi="Times New Roman" w:cs="Times New Roman"/>
          <w:sz w:val="24"/>
        </w:rPr>
        <w:t xml:space="preserve"> </w:t>
      </w:r>
      <w:r w:rsidR="00B240C6">
        <w:rPr>
          <w:rFonts w:ascii="Times New Roman" w:hAnsi="Times New Roman" w:cs="Times New Roman"/>
          <w:sz w:val="24"/>
        </w:rPr>
        <w:t>Unlike in Sidney’s play, therefore, Cleopatra is not faced with a choice between her personal obligations to her children and her political obligations to save her kingdom: in Daniel’s play these are the same. Cleopatra’s suicide is caused, therefore, by a different</w:t>
      </w:r>
      <w:r w:rsidR="00473DD5">
        <w:rPr>
          <w:rFonts w:ascii="Times New Roman" w:hAnsi="Times New Roman" w:cs="Times New Roman"/>
          <w:sz w:val="24"/>
        </w:rPr>
        <w:t xml:space="preserve"> </w:t>
      </w:r>
      <w:r w:rsidR="00B240C6">
        <w:rPr>
          <w:rFonts w:ascii="Times New Roman" w:hAnsi="Times New Roman" w:cs="Times New Roman"/>
          <w:sz w:val="24"/>
        </w:rPr>
        <w:t>motivat</w:t>
      </w:r>
      <w:r w:rsidR="00473DD5">
        <w:rPr>
          <w:rFonts w:ascii="Times New Roman" w:hAnsi="Times New Roman" w:cs="Times New Roman"/>
          <w:sz w:val="24"/>
        </w:rPr>
        <w:t>ion</w:t>
      </w:r>
      <w:r w:rsidR="00B240C6">
        <w:rPr>
          <w:rFonts w:ascii="Times New Roman" w:hAnsi="Times New Roman" w:cs="Times New Roman"/>
          <w:sz w:val="24"/>
        </w:rPr>
        <w:t>, alien to Sidney’s Cleopatra, Marlowe’s Dido or Brandon’s Octavia. At the beginning</w:t>
      </w:r>
      <w:r w:rsidR="00E557B3">
        <w:rPr>
          <w:rFonts w:ascii="Times New Roman" w:hAnsi="Times New Roman" w:cs="Times New Roman"/>
          <w:sz w:val="24"/>
        </w:rPr>
        <w:t xml:space="preserve"> of the play</w:t>
      </w:r>
      <w:r w:rsidR="00B240C6">
        <w:rPr>
          <w:rFonts w:ascii="Times New Roman" w:hAnsi="Times New Roman" w:cs="Times New Roman"/>
          <w:sz w:val="24"/>
        </w:rPr>
        <w:t xml:space="preserve"> she asserts that </w:t>
      </w:r>
    </w:p>
    <w:p w14:paraId="530C2837" w14:textId="3FB23E68" w:rsidR="00B240C6" w:rsidRDefault="00B240C6" w:rsidP="002D58FB">
      <w:pPr>
        <w:spacing w:line="240" w:lineRule="auto"/>
        <w:ind w:left="720"/>
        <w:jc w:val="both"/>
        <w:rPr>
          <w:rFonts w:ascii="Times New Roman" w:hAnsi="Times New Roman" w:cs="Times New Roman"/>
          <w:sz w:val="24"/>
        </w:rPr>
      </w:pPr>
      <w:r>
        <w:rPr>
          <w:rFonts w:ascii="Times New Roman" w:hAnsi="Times New Roman" w:cs="Times New Roman"/>
          <w:sz w:val="24"/>
        </w:rPr>
        <w:t>I must die free</w:t>
      </w:r>
      <w:r w:rsidR="00E557B3">
        <w:rPr>
          <w:rFonts w:ascii="Times New Roman" w:hAnsi="Times New Roman" w:cs="Times New Roman"/>
          <w:sz w:val="24"/>
        </w:rPr>
        <w:t>…</w:t>
      </w:r>
    </w:p>
    <w:p w14:paraId="7AC6FE98" w14:textId="1EA4436F" w:rsidR="00B240C6" w:rsidRDefault="00B240C6"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Blood, </w:t>
      </w:r>
      <w:proofErr w:type="spellStart"/>
      <w:r>
        <w:rPr>
          <w:rFonts w:ascii="Times New Roman" w:hAnsi="Times New Roman" w:cs="Times New Roman"/>
          <w:sz w:val="24"/>
        </w:rPr>
        <w:t>chlydren</w:t>
      </w:r>
      <w:proofErr w:type="spellEnd"/>
      <w:r>
        <w:rPr>
          <w:rFonts w:ascii="Times New Roman" w:hAnsi="Times New Roman" w:cs="Times New Roman"/>
          <w:sz w:val="24"/>
        </w:rPr>
        <w:t xml:space="preserve">, nature all must pardon </w:t>
      </w:r>
      <w:proofErr w:type="spellStart"/>
      <w:r>
        <w:rPr>
          <w:rFonts w:ascii="Times New Roman" w:hAnsi="Times New Roman" w:cs="Times New Roman"/>
          <w:sz w:val="24"/>
        </w:rPr>
        <w:t>mee</w:t>
      </w:r>
      <w:proofErr w:type="spellEnd"/>
      <w:r>
        <w:rPr>
          <w:rFonts w:ascii="Times New Roman" w:hAnsi="Times New Roman" w:cs="Times New Roman"/>
          <w:sz w:val="24"/>
        </w:rPr>
        <w:t>.</w:t>
      </w:r>
    </w:p>
    <w:p w14:paraId="1EBBB20C" w14:textId="7D0B6499" w:rsidR="00B240C6" w:rsidRDefault="00B240C6"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My </w:t>
      </w:r>
      <w:proofErr w:type="spellStart"/>
      <w:r>
        <w:rPr>
          <w:rFonts w:ascii="Times New Roman" w:hAnsi="Times New Roman" w:cs="Times New Roman"/>
          <w:sz w:val="24"/>
        </w:rPr>
        <w:t>soule</w:t>
      </w:r>
      <w:proofErr w:type="spellEnd"/>
      <w:r>
        <w:rPr>
          <w:rFonts w:ascii="Times New Roman" w:hAnsi="Times New Roman" w:cs="Times New Roman"/>
          <w:sz w:val="24"/>
        </w:rPr>
        <w:t xml:space="preserve"> </w:t>
      </w:r>
      <w:proofErr w:type="spellStart"/>
      <w:r>
        <w:rPr>
          <w:rFonts w:ascii="Times New Roman" w:hAnsi="Times New Roman" w:cs="Times New Roman"/>
          <w:sz w:val="24"/>
        </w:rPr>
        <w:t>yeelds</w:t>
      </w:r>
      <w:proofErr w:type="spellEnd"/>
      <w:r>
        <w:rPr>
          <w:rFonts w:ascii="Times New Roman" w:hAnsi="Times New Roman" w:cs="Times New Roman"/>
          <w:sz w:val="24"/>
        </w:rPr>
        <w:t xml:space="preserve"> honour up the victory,</w:t>
      </w:r>
    </w:p>
    <w:p w14:paraId="391F3F63" w14:textId="05C43C63" w:rsidR="00B240C6" w:rsidRDefault="00B240C6" w:rsidP="002D58FB">
      <w:pPr>
        <w:spacing w:line="240" w:lineRule="auto"/>
        <w:ind w:left="720"/>
        <w:jc w:val="both"/>
        <w:rPr>
          <w:rFonts w:ascii="Times New Roman" w:hAnsi="Times New Roman" w:cs="Times New Roman"/>
          <w:sz w:val="24"/>
        </w:rPr>
      </w:pPr>
      <w:r>
        <w:rPr>
          <w:rFonts w:ascii="Times New Roman" w:hAnsi="Times New Roman" w:cs="Times New Roman"/>
          <w:sz w:val="24"/>
        </w:rPr>
        <w:lastRenderedPageBreak/>
        <w:t xml:space="preserve">And I must </w:t>
      </w:r>
      <w:proofErr w:type="spellStart"/>
      <w:r>
        <w:rPr>
          <w:rFonts w:ascii="Times New Roman" w:hAnsi="Times New Roman" w:cs="Times New Roman"/>
          <w:sz w:val="24"/>
        </w:rPr>
        <w:t>bee</w:t>
      </w:r>
      <w:proofErr w:type="spellEnd"/>
      <w:r>
        <w:rPr>
          <w:rFonts w:ascii="Times New Roman" w:hAnsi="Times New Roman" w:cs="Times New Roman"/>
          <w:sz w:val="24"/>
        </w:rPr>
        <w:t xml:space="preserve"> a </w:t>
      </w:r>
      <w:proofErr w:type="spellStart"/>
      <w:r>
        <w:rPr>
          <w:rFonts w:ascii="Times New Roman" w:hAnsi="Times New Roman" w:cs="Times New Roman"/>
          <w:sz w:val="24"/>
        </w:rPr>
        <w:t>Queene</w:t>
      </w:r>
      <w:proofErr w:type="spellEnd"/>
      <w:r>
        <w:rPr>
          <w:rFonts w:ascii="Times New Roman" w:hAnsi="Times New Roman" w:cs="Times New Roman"/>
          <w:sz w:val="24"/>
        </w:rPr>
        <w:t>, forget a mother.</w:t>
      </w:r>
      <w:r>
        <w:rPr>
          <w:rStyle w:val="FootnoteReference"/>
          <w:rFonts w:ascii="Times New Roman" w:hAnsi="Times New Roman" w:cs="Times New Roman"/>
          <w:sz w:val="24"/>
        </w:rPr>
        <w:footnoteReference w:id="117"/>
      </w:r>
    </w:p>
    <w:p w14:paraId="1523CDD8" w14:textId="6409A44A" w:rsidR="00B94934" w:rsidRDefault="00B240C6" w:rsidP="002D58FB">
      <w:pPr>
        <w:spacing w:line="240" w:lineRule="auto"/>
        <w:jc w:val="both"/>
        <w:rPr>
          <w:rFonts w:ascii="Times New Roman" w:hAnsi="Times New Roman" w:cs="Times New Roman"/>
          <w:sz w:val="24"/>
        </w:rPr>
      </w:pPr>
      <w:r>
        <w:rPr>
          <w:rFonts w:ascii="Times New Roman" w:hAnsi="Times New Roman" w:cs="Times New Roman"/>
          <w:sz w:val="24"/>
        </w:rPr>
        <w:t>Cleopatra’s suicide seems therefore to be an assertion of her independence and her majesty in rule</w:t>
      </w:r>
      <w:r w:rsidR="00386CBC">
        <w:rPr>
          <w:rFonts w:ascii="Times New Roman" w:hAnsi="Times New Roman" w:cs="Times New Roman"/>
          <w:sz w:val="24"/>
        </w:rPr>
        <w:t>:</w:t>
      </w:r>
      <w:r>
        <w:rPr>
          <w:rFonts w:ascii="Times New Roman" w:hAnsi="Times New Roman" w:cs="Times New Roman"/>
          <w:sz w:val="24"/>
        </w:rPr>
        <w:t xml:space="preserve"> in other words, her dignity as queen</w:t>
      </w:r>
      <w:r w:rsidR="00007C0F">
        <w:rPr>
          <w:rFonts w:ascii="Times New Roman" w:hAnsi="Times New Roman" w:cs="Times New Roman"/>
          <w:sz w:val="24"/>
        </w:rPr>
        <w:t xml:space="preserve"> over her virtue as a woman</w:t>
      </w:r>
      <w:r w:rsidR="00BC7260">
        <w:rPr>
          <w:rFonts w:ascii="Times New Roman" w:hAnsi="Times New Roman" w:cs="Times New Roman"/>
          <w:sz w:val="24"/>
        </w:rPr>
        <w:t>, particularly as a mother</w:t>
      </w:r>
      <w:r>
        <w:rPr>
          <w:rFonts w:ascii="Times New Roman" w:hAnsi="Times New Roman" w:cs="Times New Roman"/>
          <w:sz w:val="24"/>
        </w:rPr>
        <w:t>. This is reflected in the fact that her chief worry is not the betrayal of Antony or the death of her children, but the humiliation of being led in Triumph</w:t>
      </w:r>
      <w:r w:rsidR="00B75F36">
        <w:rPr>
          <w:rFonts w:ascii="Times New Roman" w:hAnsi="Times New Roman" w:cs="Times New Roman"/>
          <w:sz w:val="24"/>
        </w:rPr>
        <w:t>, the symbolic representation of her subjection to Octavian:</w:t>
      </w:r>
    </w:p>
    <w:p w14:paraId="7E0BA5E1" w14:textId="26E82FE8" w:rsidR="00B75F36" w:rsidRDefault="00B75F36" w:rsidP="002D58FB">
      <w:pPr>
        <w:spacing w:line="240" w:lineRule="auto"/>
        <w:ind w:left="720"/>
        <w:jc w:val="both"/>
        <w:rPr>
          <w:rFonts w:ascii="Times New Roman" w:hAnsi="Times New Roman" w:cs="Times New Roman"/>
          <w:sz w:val="24"/>
        </w:rPr>
      </w:pPr>
      <w:r>
        <w:rPr>
          <w:rFonts w:ascii="Times New Roman" w:hAnsi="Times New Roman" w:cs="Times New Roman"/>
          <w:sz w:val="24"/>
        </w:rPr>
        <w:t>That courage with my blood and birth innated…</w:t>
      </w:r>
    </w:p>
    <w:p w14:paraId="3482A7C1" w14:textId="6A3BC759" w:rsidR="00B75F36" w:rsidRDefault="00B75F36"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Cannot by </w:t>
      </w:r>
      <w:proofErr w:type="spellStart"/>
      <w:r>
        <w:rPr>
          <w:rFonts w:ascii="Times New Roman" w:hAnsi="Times New Roman" w:cs="Times New Roman"/>
          <w:sz w:val="24"/>
        </w:rPr>
        <w:t>threates</w:t>
      </w:r>
      <w:proofErr w:type="spellEnd"/>
      <w:r>
        <w:rPr>
          <w:rFonts w:ascii="Times New Roman" w:hAnsi="Times New Roman" w:cs="Times New Roman"/>
          <w:sz w:val="24"/>
        </w:rPr>
        <w:t xml:space="preserve"> be vulgarly abated,</w:t>
      </w:r>
    </w:p>
    <w:p w14:paraId="125B92ED" w14:textId="2D4B8965" w:rsidR="00B75F36" w:rsidRPr="005F3CC1" w:rsidRDefault="00B75F36" w:rsidP="002D58FB">
      <w:pPr>
        <w:spacing w:line="240" w:lineRule="auto"/>
        <w:ind w:left="720"/>
        <w:jc w:val="both"/>
        <w:rPr>
          <w:rFonts w:ascii="Times New Roman" w:hAnsi="Times New Roman" w:cs="Times New Roman"/>
          <w:sz w:val="24"/>
        </w:rPr>
      </w:pPr>
      <w:r>
        <w:rPr>
          <w:rFonts w:ascii="Times New Roman" w:hAnsi="Times New Roman" w:cs="Times New Roman"/>
          <w:sz w:val="24"/>
        </w:rPr>
        <w:t>To be thy slave, that ruled as good as thou.</w:t>
      </w:r>
      <w:r>
        <w:rPr>
          <w:rStyle w:val="FootnoteReference"/>
          <w:rFonts w:ascii="Times New Roman" w:hAnsi="Times New Roman" w:cs="Times New Roman"/>
          <w:sz w:val="24"/>
        </w:rPr>
        <w:footnoteReference w:id="118"/>
      </w:r>
    </w:p>
    <w:p w14:paraId="73D1129E" w14:textId="2D1EC715" w:rsidR="005863B2" w:rsidRDefault="00D70FC6" w:rsidP="002D58FB">
      <w:pPr>
        <w:spacing w:line="240" w:lineRule="auto"/>
        <w:jc w:val="both"/>
        <w:rPr>
          <w:rFonts w:ascii="Times New Roman" w:hAnsi="Times New Roman" w:cs="Times New Roman"/>
          <w:sz w:val="24"/>
        </w:rPr>
      </w:pPr>
      <w:r>
        <w:rPr>
          <w:rFonts w:ascii="Times New Roman" w:hAnsi="Times New Roman" w:cs="Times New Roman"/>
          <w:sz w:val="24"/>
        </w:rPr>
        <w:t>In Daniel’s play Cleopatra’s</w:t>
      </w:r>
      <w:r w:rsidR="005863B2">
        <w:rPr>
          <w:rFonts w:ascii="Times New Roman" w:hAnsi="Times New Roman" w:cs="Times New Roman"/>
          <w:sz w:val="24"/>
        </w:rPr>
        <w:t xml:space="preserve"> realisation</w:t>
      </w:r>
      <w:r>
        <w:rPr>
          <w:rFonts w:ascii="Times New Roman" w:hAnsi="Times New Roman" w:cs="Times New Roman"/>
          <w:sz w:val="24"/>
        </w:rPr>
        <w:t xml:space="preserve"> of her faults does not</w:t>
      </w:r>
      <w:r w:rsidR="005863B2">
        <w:rPr>
          <w:rFonts w:ascii="Times New Roman" w:hAnsi="Times New Roman" w:cs="Times New Roman"/>
          <w:sz w:val="24"/>
        </w:rPr>
        <w:t xml:space="preserve"> </w:t>
      </w:r>
      <w:r w:rsidR="00007C0F">
        <w:rPr>
          <w:rFonts w:ascii="Times New Roman" w:hAnsi="Times New Roman" w:cs="Times New Roman"/>
          <w:sz w:val="24"/>
        </w:rPr>
        <w:t>driv</w:t>
      </w:r>
      <w:r>
        <w:rPr>
          <w:rFonts w:ascii="Times New Roman" w:hAnsi="Times New Roman" w:cs="Times New Roman"/>
          <w:sz w:val="24"/>
        </w:rPr>
        <w:t>e</w:t>
      </w:r>
      <w:r w:rsidR="00007C0F">
        <w:rPr>
          <w:rFonts w:ascii="Times New Roman" w:hAnsi="Times New Roman" w:cs="Times New Roman"/>
          <w:sz w:val="24"/>
        </w:rPr>
        <w:t xml:space="preserve"> her to </w:t>
      </w:r>
      <w:r w:rsidR="005863B2">
        <w:rPr>
          <w:rFonts w:ascii="Times New Roman" w:hAnsi="Times New Roman" w:cs="Times New Roman"/>
          <w:sz w:val="24"/>
        </w:rPr>
        <w:t xml:space="preserve">repent </w:t>
      </w:r>
      <w:r w:rsidR="000D6B4D">
        <w:rPr>
          <w:rFonts w:ascii="Times New Roman" w:hAnsi="Times New Roman" w:cs="Times New Roman"/>
          <w:sz w:val="24"/>
        </w:rPr>
        <w:t xml:space="preserve">her lack of </w:t>
      </w:r>
      <w:r w:rsidR="005863B2">
        <w:rPr>
          <w:rFonts w:ascii="Times New Roman" w:hAnsi="Times New Roman" w:cs="Times New Roman"/>
          <w:sz w:val="24"/>
        </w:rPr>
        <w:t>female virtue</w:t>
      </w:r>
      <w:r>
        <w:rPr>
          <w:rFonts w:ascii="Times New Roman" w:hAnsi="Times New Roman" w:cs="Times New Roman"/>
          <w:sz w:val="24"/>
        </w:rPr>
        <w:t>.</w:t>
      </w:r>
      <w:r>
        <w:rPr>
          <w:rStyle w:val="FootnoteReference"/>
          <w:rFonts w:ascii="Times New Roman" w:hAnsi="Times New Roman" w:cs="Times New Roman"/>
          <w:sz w:val="24"/>
        </w:rPr>
        <w:footnoteReference w:id="119"/>
      </w:r>
      <w:r>
        <w:rPr>
          <w:rFonts w:ascii="Times New Roman" w:hAnsi="Times New Roman" w:cs="Times New Roman"/>
          <w:sz w:val="24"/>
        </w:rPr>
        <w:t xml:space="preserve"> Instead it</w:t>
      </w:r>
      <w:r w:rsidR="00007C0F">
        <w:rPr>
          <w:rFonts w:ascii="Times New Roman" w:hAnsi="Times New Roman" w:cs="Times New Roman"/>
          <w:sz w:val="24"/>
        </w:rPr>
        <w:t xml:space="preserve"> makes her </w:t>
      </w:r>
      <w:r w:rsidR="005863B2">
        <w:rPr>
          <w:rFonts w:ascii="Times New Roman" w:hAnsi="Times New Roman" w:cs="Times New Roman"/>
          <w:sz w:val="24"/>
        </w:rPr>
        <w:t>resolv</w:t>
      </w:r>
      <w:r w:rsidR="00007C0F">
        <w:rPr>
          <w:rFonts w:ascii="Times New Roman" w:hAnsi="Times New Roman" w:cs="Times New Roman"/>
          <w:sz w:val="24"/>
        </w:rPr>
        <w:t>e</w:t>
      </w:r>
      <w:r w:rsidR="005863B2">
        <w:rPr>
          <w:rFonts w:ascii="Times New Roman" w:hAnsi="Times New Roman" w:cs="Times New Roman"/>
          <w:sz w:val="24"/>
        </w:rPr>
        <w:t xml:space="preserve"> to be worthy of her majesty in death by becoming more than either man or woman. This</w:t>
      </w:r>
      <w:r w:rsidR="004C23E7">
        <w:rPr>
          <w:rFonts w:ascii="Times New Roman" w:hAnsi="Times New Roman" w:cs="Times New Roman"/>
          <w:sz w:val="24"/>
        </w:rPr>
        <w:t xml:space="preserve"> idea</w:t>
      </w:r>
      <w:r w:rsidR="005863B2">
        <w:rPr>
          <w:rFonts w:ascii="Times New Roman" w:hAnsi="Times New Roman" w:cs="Times New Roman"/>
          <w:sz w:val="24"/>
        </w:rPr>
        <w:t xml:space="preserve"> is expressed by Octavian</w:t>
      </w:r>
      <w:r w:rsidR="00330267">
        <w:rPr>
          <w:rFonts w:ascii="Times New Roman" w:hAnsi="Times New Roman" w:cs="Times New Roman"/>
          <w:sz w:val="24"/>
        </w:rPr>
        <w:t xml:space="preserve"> who believes </w:t>
      </w:r>
      <w:r w:rsidR="005863B2">
        <w:rPr>
          <w:rFonts w:ascii="Times New Roman" w:hAnsi="Times New Roman" w:cs="Times New Roman"/>
          <w:sz w:val="24"/>
        </w:rPr>
        <w:t xml:space="preserve">that </w:t>
      </w:r>
      <w:r w:rsidR="00330267">
        <w:rPr>
          <w:rFonts w:ascii="Times New Roman" w:hAnsi="Times New Roman" w:cs="Times New Roman"/>
          <w:sz w:val="24"/>
        </w:rPr>
        <w:t>Cleopatra</w:t>
      </w:r>
      <w:r w:rsidR="005863B2">
        <w:rPr>
          <w:rFonts w:ascii="Times New Roman" w:hAnsi="Times New Roman" w:cs="Times New Roman"/>
          <w:sz w:val="24"/>
        </w:rPr>
        <w:t xml:space="preserve"> </w:t>
      </w:r>
      <w:r w:rsidR="00473DD5">
        <w:rPr>
          <w:rFonts w:ascii="Times New Roman" w:hAnsi="Times New Roman" w:cs="Times New Roman"/>
          <w:sz w:val="24"/>
        </w:rPr>
        <w:t xml:space="preserve">will not </w:t>
      </w:r>
      <w:r w:rsidR="00330267">
        <w:rPr>
          <w:rFonts w:ascii="Times New Roman" w:hAnsi="Times New Roman" w:cs="Times New Roman"/>
          <w:sz w:val="24"/>
        </w:rPr>
        <w:t xml:space="preserve">let herself </w:t>
      </w:r>
      <w:r w:rsidR="00473DD5">
        <w:rPr>
          <w:rFonts w:ascii="Times New Roman" w:hAnsi="Times New Roman" w:cs="Times New Roman"/>
          <w:sz w:val="24"/>
        </w:rPr>
        <w:t xml:space="preserve">be </w:t>
      </w:r>
      <w:r w:rsidR="005863B2">
        <w:rPr>
          <w:rFonts w:ascii="Times New Roman" w:hAnsi="Times New Roman" w:cs="Times New Roman"/>
          <w:sz w:val="24"/>
        </w:rPr>
        <w:t>led in triumph since</w:t>
      </w:r>
    </w:p>
    <w:p w14:paraId="0917F047" w14:textId="781E2B4A" w:rsidR="005863B2" w:rsidRDefault="005863B2" w:rsidP="002D58FB">
      <w:pPr>
        <w:spacing w:line="240" w:lineRule="auto"/>
        <w:ind w:left="720"/>
        <w:jc w:val="both"/>
        <w:rPr>
          <w:rFonts w:ascii="Times New Roman" w:hAnsi="Times New Roman" w:cs="Times New Roman"/>
          <w:sz w:val="24"/>
        </w:rPr>
      </w:pPr>
      <w:r>
        <w:rPr>
          <w:rFonts w:ascii="Times New Roman" w:hAnsi="Times New Roman" w:cs="Times New Roman"/>
          <w:sz w:val="24"/>
        </w:rPr>
        <w:t>Tis more honour for her to die free…</w:t>
      </w:r>
    </w:p>
    <w:p w14:paraId="43BB5A92" w14:textId="3B099A41" w:rsidR="005863B2" w:rsidRDefault="005863B2" w:rsidP="002D58FB">
      <w:pPr>
        <w:spacing w:line="240" w:lineRule="auto"/>
        <w:ind w:left="720"/>
        <w:jc w:val="both"/>
        <w:rPr>
          <w:rFonts w:ascii="Times New Roman" w:hAnsi="Times New Roman" w:cs="Times New Roman"/>
          <w:sz w:val="24"/>
        </w:rPr>
      </w:pPr>
      <w:r>
        <w:rPr>
          <w:rFonts w:ascii="Times New Roman" w:hAnsi="Times New Roman" w:cs="Times New Roman"/>
          <w:sz w:val="24"/>
        </w:rPr>
        <w:t>Princes respect their honour more than blood…</w:t>
      </w:r>
    </w:p>
    <w:p w14:paraId="7A6F70DF" w14:textId="4152FEBA" w:rsidR="005863B2" w:rsidRDefault="005863B2" w:rsidP="002D58FB">
      <w:pPr>
        <w:spacing w:line="240" w:lineRule="auto"/>
        <w:ind w:left="720"/>
        <w:jc w:val="both"/>
        <w:rPr>
          <w:rFonts w:ascii="Times New Roman" w:hAnsi="Times New Roman" w:cs="Times New Roman"/>
          <w:sz w:val="24"/>
        </w:rPr>
      </w:pPr>
      <w:r>
        <w:rPr>
          <w:rFonts w:ascii="Times New Roman" w:hAnsi="Times New Roman" w:cs="Times New Roman"/>
          <w:sz w:val="24"/>
        </w:rPr>
        <w:t>To be a Prince, is more then be a man.</w:t>
      </w:r>
      <w:r>
        <w:rPr>
          <w:rStyle w:val="FootnoteReference"/>
          <w:rFonts w:ascii="Times New Roman" w:hAnsi="Times New Roman" w:cs="Times New Roman"/>
          <w:sz w:val="24"/>
        </w:rPr>
        <w:footnoteReference w:id="120"/>
      </w:r>
    </w:p>
    <w:p w14:paraId="5F3F5E80" w14:textId="6C1FEF49" w:rsidR="004C23E7" w:rsidRDefault="009C1FA9" w:rsidP="002D58FB">
      <w:pPr>
        <w:spacing w:line="240" w:lineRule="auto"/>
        <w:jc w:val="both"/>
        <w:rPr>
          <w:rFonts w:ascii="Times New Roman" w:hAnsi="Times New Roman" w:cs="Times New Roman"/>
          <w:sz w:val="24"/>
        </w:rPr>
      </w:pPr>
      <w:r>
        <w:rPr>
          <w:rFonts w:ascii="Times New Roman" w:hAnsi="Times New Roman" w:cs="Times New Roman"/>
          <w:sz w:val="24"/>
        </w:rPr>
        <w:t>In the end Cleopatra settles on suicide as the only alternative to being led in Triumph</w:t>
      </w:r>
      <w:r w:rsidR="00500951">
        <w:rPr>
          <w:rFonts w:ascii="Times New Roman" w:hAnsi="Times New Roman" w:cs="Times New Roman"/>
          <w:sz w:val="24"/>
        </w:rPr>
        <w:t>, pledging to ‘</w:t>
      </w:r>
      <w:r>
        <w:rPr>
          <w:rFonts w:ascii="Times New Roman" w:hAnsi="Times New Roman" w:cs="Times New Roman"/>
          <w:sz w:val="24"/>
        </w:rPr>
        <w:t xml:space="preserve">Dye like a </w:t>
      </w:r>
      <w:proofErr w:type="spellStart"/>
      <w:r>
        <w:rPr>
          <w:rFonts w:ascii="Times New Roman" w:hAnsi="Times New Roman" w:cs="Times New Roman"/>
          <w:sz w:val="24"/>
        </w:rPr>
        <w:t>Queene</w:t>
      </w:r>
      <w:proofErr w:type="spellEnd"/>
      <w:r w:rsidR="00500951">
        <w:rPr>
          <w:rFonts w:ascii="Times New Roman" w:hAnsi="Times New Roman" w:cs="Times New Roman"/>
          <w:sz w:val="24"/>
        </w:rPr>
        <w:t>’</w:t>
      </w:r>
      <w:r>
        <w:rPr>
          <w:rFonts w:ascii="Times New Roman" w:hAnsi="Times New Roman" w:cs="Times New Roman"/>
          <w:sz w:val="24"/>
        </w:rPr>
        <w:t>.</w:t>
      </w:r>
      <w:r>
        <w:rPr>
          <w:rStyle w:val="FootnoteReference"/>
          <w:rFonts w:ascii="Times New Roman" w:hAnsi="Times New Roman" w:cs="Times New Roman"/>
          <w:sz w:val="24"/>
        </w:rPr>
        <w:footnoteReference w:id="121"/>
      </w:r>
      <w:r w:rsidR="00500951">
        <w:rPr>
          <w:rFonts w:ascii="Times New Roman" w:hAnsi="Times New Roman" w:cs="Times New Roman"/>
          <w:sz w:val="24"/>
        </w:rPr>
        <w:t xml:space="preserve"> </w:t>
      </w:r>
      <w:r w:rsidR="00007C0F">
        <w:rPr>
          <w:rFonts w:ascii="Times New Roman" w:hAnsi="Times New Roman" w:cs="Times New Roman"/>
          <w:sz w:val="24"/>
        </w:rPr>
        <w:t xml:space="preserve">Daniel’s Cleopatra manages to locate a sense of virtue for herself outside of the traditional sphere of </w:t>
      </w:r>
      <w:r w:rsidR="003D19B7">
        <w:rPr>
          <w:rFonts w:ascii="Times New Roman" w:hAnsi="Times New Roman" w:cs="Times New Roman"/>
          <w:sz w:val="24"/>
        </w:rPr>
        <w:t xml:space="preserve">women’s </w:t>
      </w:r>
      <w:r w:rsidR="00007C0F">
        <w:rPr>
          <w:rFonts w:ascii="Times New Roman" w:hAnsi="Times New Roman" w:cs="Times New Roman"/>
          <w:sz w:val="24"/>
        </w:rPr>
        <w:t>morality, through the promotion of</w:t>
      </w:r>
      <w:r w:rsidR="004C23E7">
        <w:rPr>
          <w:rFonts w:ascii="Times New Roman" w:hAnsi="Times New Roman" w:cs="Times New Roman"/>
          <w:sz w:val="24"/>
        </w:rPr>
        <w:t xml:space="preserve"> her majestic dignity</w:t>
      </w:r>
      <w:r w:rsidR="00007C0F">
        <w:rPr>
          <w:rFonts w:ascii="Times New Roman" w:hAnsi="Times New Roman" w:cs="Times New Roman"/>
          <w:sz w:val="24"/>
        </w:rPr>
        <w:t xml:space="preserve"> as a ruler and member of an ancient dynasty. </w:t>
      </w:r>
      <w:r w:rsidR="004C23E7">
        <w:rPr>
          <w:rFonts w:ascii="Times New Roman" w:hAnsi="Times New Roman" w:cs="Times New Roman"/>
          <w:sz w:val="24"/>
        </w:rPr>
        <w:t xml:space="preserve">Whilst Sidney’s Cleopatra, Marlowe’s Dido and the idealised Roman women are </w:t>
      </w:r>
      <w:r w:rsidR="00CA7ADC">
        <w:rPr>
          <w:rFonts w:ascii="Times New Roman" w:hAnsi="Times New Roman" w:cs="Times New Roman"/>
          <w:sz w:val="24"/>
        </w:rPr>
        <w:t>judged against the standards of traditional female virtue, Daniel’s Cleopatra manages to use her status as a queen to escape these constraints.</w:t>
      </w:r>
    </w:p>
    <w:p w14:paraId="7F7EC10D" w14:textId="5BD7E91A" w:rsidR="00863C37" w:rsidRDefault="00CA7ADC" w:rsidP="002D58FB">
      <w:pPr>
        <w:spacing w:line="240" w:lineRule="auto"/>
        <w:jc w:val="both"/>
        <w:rPr>
          <w:rFonts w:ascii="Times New Roman" w:hAnsi="Times New Roman" w:cs="Times New Roman"/>
          <w:sz w:val="24"/>
        </w:rPr>
      </w:pPr>
      <w:r>
        <w:rPr>
          <w:rFonts w:ascii="Times New Roman" w:hAnsi="Times New Roman" w:cs="Times New Roman"/>
          <w:sz w:val="24"/>
        </w:rPr>
        <w:t xml:space="preserve">However, although Daniel’s Cleopatra is not completely defined by normative gendered expectations of virtue, there </w:t>
      </w:r>
      <w:r w:rsidR="009D39D1">
        <w:rPr>
          <w:rFonts w:ascii="Times New Roman" w:hAnsi="Times New Roman" w:cs="Times New Roman"/>
          <w:sz w:val="24"/>
        </w:rPr>
        <w:t>remains</w:t>
      </w:r>
      <w:r>
        <w:rPr>
          <w:rFonts w:ascii="Times New Roman" w:hAnsi="Times New Roman" w:cs="Times New Roman"/>
          <w:sz w:val="24"/>
        </w:rPr>
        <w:t xml:space="preserve"> a</w:t>
      </w:r>
      <w:r w:rsidR="00167337">
        <w:rPr>
          <w:rFonts w:ascii="Times New Roman" w:hAnsi="Times New Roman" w:cs="Times New Roman"/>
          <w:sz w:val="24"/>
        </w:rPr>
        <w:t>n</w:t>
      </w:r>
      <w:r>
        <w:rPr>
          <w:rFonts w:ascii="Times New Roman" w:hAnsi="Times New Roman" w:cs="Times New Roman"/>
          <w:sz w:val="24"/>
        </w:rPr>
        <w:t xml:space="preserve"> undercurrent of moral judgement running throughout the play, with it being repeatedly asserted that the current woes of Egypt are ‘a reward for [Cleopatra’s] lust.’</w:t>
      </w:r>
      <w:r>
        <w:rPr>
          <w:rStyle w:val="FootnoteReference"/>
          <w:rFonts w:ascii="Times New Roman" w:hAnsi="Times New Roman" w:cs="Times New Roman"/>
          <w:sz w:val="24"/>
        </w:rPr>
        <w:footnoteReference w:id="122"/>
      </w:r>
      <w:r w:rsidR="0069087B">
        <w:rPr>
          <w:rFonts w:ascii="Times New Roman" w:hAnsi="Times New Roman" w:cs="Times New Roman"/>
          <w:sz w:val="24"/>
        </w:rPr>
        <w:t xml:space="preserve"> </w:t>
      </w:r>
      <w:r w:rsidR="0070537D">
        <w:rPr>
          <w:rFonts w:ascii="Times New Roman" w:hAnsi="Times New Roman" w:cs="Times New Roman"/>
          <w:sz w:val="24"/>
        </w:rPr>
        <w:t>T</w:t>
      </w:r>
      <w:r w:rsidR="00D11247">
        <w:rPr>
          <w:rFonts w:ascii="Times New Roman" w:hAnsi="Times New Roman" w:cs="Times New Roman"/>
          <w:sz w:val="24"/>
        </w:rPr>
        <w:t xml:space="preserve">he play does not end on a note of admiration for the majesty of Cleopatra’s suicide, but rather a </w:t>
      </w:r>
      <w:r w:rsidR="0070537D">
        <w:rPr>
          <w:rFonts w:ascii="Times New Roman" w:hAnsi="Times New Roman" w:cs="Times New Roman"/>
          <w:sz w:val="24"/>
        </w:rPr>
        <w:t>choral</w:t>
      </w:r>
      <w:r w:rsidR="00D11247">
        <w:rPr>
          <w:rFonts w:ascii="Times New Roman" w:hAnsi="Times New Roman" w:cs="Times New Roman"/>
          <w:sz w:val="24"/>
        </w:rPr>
        <w:t xml:space="preserve"> diatribe on the destruction of Egypt.</w:t>
      </w:r>
      <w:r w:rsidR="00D11247">
        <w:rPr>
          <w:rStyle w:val="FootnoteReference"/>
          <w:rFonts w:ascii="Times New Roman" w:hAnsi="Times New Roman" w:cs="Times New Roman"/>
          <w:sz w:val="24"/>
        </w:rPr>
        <w:footnoteReference w:id="123"/>
      </w:r>
      <w:r w:rsidR="00D11247">
        <w:rPr>
          <w:rFonts w:ascii="Times New Roman" w:hAnsi="Times New Roman" w:cs="Times New Roman"/>
          <w:sz w:val="24"/>
        </w:rPr>
        <w:t xml:space="preserve"> Despite Cleopatra’s heroic death, therefore, there is a pervasive sense of her immorality and the destruction which it has caused that undermines her</w:t>
      </w:r>
      <w:r w:rsidR="00B24F9D">
        <w:rPr>
          <w:rFonts w:ascii="Times New Roman" w:hAnsi="Times New Roman" w:cs="Times New Roman"/>
          <w:sz w:val="24"/>
        </w:rPr>
        <w:t xml:space="preserve"> redemption at the end. One is left with the sense that, no matter how glorious her </w:t>
      </w:r>
      <w:r w:rsidR="00454951">
        <w:rPr>
          <w:rFonts w:ascii="Times New Roman" w:hAnsi="Times New Roman" w:cs="Times New Roman"/>
          <w:sz w:val="24"/>
        </w:rPr>
        <w:t>death</w:t>
      </w:r>
      <w:r w:rsidR="00B24F9D">
        <w:rPr>
          <w:rFonts w:ascii="Times New Roman" w:hAnsi="Times New Roman" w:cs="Times New Roman"/>
          <w:sz w:val="24"/>
        </w:rPr>
        <w:t xml:space="preserve">, it would have been better if she had followed the advice of the traditional moralists. </w:t>
      </w:r>
    </w:p>
    <w:p w14:paraId="215D357D" w14:textId="25F3082C" w:rsidR="00B24F9D" w:rsidRDefault="00B24F9D" w:rsidP="002D58FB">
      <w:pPr>
        <w:spacing w:line="240" w:lineRule="auto"/>
        <w:jc w:val="both"/>
        <w:rPr>
          <w:rFonts w:ascii="Times New Roman" w:hAnsi="Times New Roman" w:cs="Times New Roman"/>
          <w:sz w:val="24"/>
        </w:rPr>
      </w:pPr>
      <w:r>
        <w:rPr>
          <w:rFonts w:ascii="Times New Roman" w:hAnsi="Times New Roman" w:cs="Times New Roman"/>
          <w:sz w:val="24"/>
        </w:rPr>
        <w:t xml:space="preserve">Shakespeare’s Cleopatra, in contrast, is the most radical acceptance of a female morality which stands outside the normative constraints of female virtue. The most crucial deviation in Shakespeare’s </w:t>
      </w:r>
      <w:r w:rsidR="00706C4B">
        <w:rPr>
          <w:rFonts w:ascii="Times New Roman" w:hAnsi="Times New Roman" w:cs="Times New Roman"/>
          <w:sz w:val="24"/>
        </w:rPr>
        <w:t>portrayal</w:t>
      </w:r>
      <w:r>
        <w:rPr>
          <w:rFonts w:ascii="Times New Roman" w:hAnsi="Times New Roman" w:cs="Times New Roman"/>
          <w:sz w:val="24"/>
        </w:rPr>
        <w:t xml:space="preserve"> of Cleopatra is that, whilst he emphasises her inconstancy </w:t>
      </w:r>
      <w:r w:rsidR="00706C4B">
        <w:rPr>
          <w:rFonts w:ascii="Times New Roman" w:hAnsi="Times New Roman" w:cs="Times New Roman"/>
          <w:sz w:val="24"/>
        </w:rPr>
        <w:t xml:space="preserve">and the negative impact of her passions, he is the only author to also present these elements in a positive </w:t>
      </w:r>
      <w:r w:rsidR="00706C4B">
        <w:rPr>
          <w:rFonts w:ascii="Times New Roman" w:hAnsi="Times New Roman" w:cs="Times New Roman"/>
          <w:sz w:val="24"/>
        </w:rPr>
        <w:lastRenderedPageBreak/>
        <w:t xml:space="preserve">light. When Antony is disillusioned with Cleopatra, complaining of how ‘She is cunning past man’s thought’, </w:t>
      </w:r>
      <w:proofErr w:type="spellStart"/>
      <w:r w:rsidR="00706C4B">
        <w:rPr>
          <w:rFonts w:ascii="Times New Roman" w:hAnsi="Times New Roman" w:cs="Times New Roman"/>
          <w:sz w:val="24"/>
        </w:rPr>
        <w:t>Enobarbus</w:t>
      </w:r>
      <w:proofErr w:type="spellEnd"/>
      <w:r w:rsidR="00706C4B">
        <w:rPr>
          <w:rFonts w:ascii="Times New Roman" w:hAnsi="Times New Roman" w:cs="Times New Roman"/>
          <w:sz w:val="24"/>
        </w:rPr>
        <w:t xml:space="preserve"> rebukes him:</w:t>
      </w:r>
    </w:p>
    <w:p w14:paraId="63649010" w14:textId="16710FAC" w:rsidR="00F46BAD" w:rsidRDefault="00706C4B" w:rsidP="00655F76">
      <w:pPr>
        <w:spacing w:line="240" w:lineRule="auto"/>
        <w:ind w:left="720" w:right="720"/>
        <w:jc w:val="both"/>
        <w:rPr>
          <w:rFonts w:ascii="Times New Roman" w:hAnsi="Times New Roman" w:cs="Times New Roman"/>
          <w:sz w:val="24"/>
        </w:rPr>
      </w:pPr>
      <w:r>
        <w:rPr>
          <w:rFonts w:ascii="Times New Roman" w:hAnsi="Times New Roman" w:cs="Times New Roman"/>
          <w:sz w:val="24"/>
        </w:rPr>
        <w:t>Alack, sir no- her passions are made of nothing but the finest part of pure love. We cannot call her winds and waters sighs and tears: they are greater storms and tempests than almanacs can report.</w:t>
      </w:r>
      <w:r>
        <w:rPr>
          <w:rStyle w:val="FootnoteReference"/>
          <w:rFonts w:ascii="Times New Roman" w:hAnsi="Times New Roman" w:cs="Times New Roman"/>
          <w:sz w:val="24"/>
        </w:rPr>
        <w:footnoteReference w:id="124"/>
      </w:r>
    </w:p>
    <w:p w14:paraId="2E75B4C1" w14:textId="1C35CC9F" w:rsidR="00CE1120" w:rsidRDefault="00706C4B" w:rsidP="002D58FB">
      <w:pPr>
        <w:spacing w:line="240" w:lineRule="auto"/>
        <w:jc w:val="both"/>
        <w:rPr>
          <w:rFonts w:ascii="Times New Roman" w:hAnsi="Times New Roman" w:cs="Times New Roman"/>
          <w:sz w:val="24"/>
        </w:rPr>
      </w:pPr>
      <w:r>
        <w:rPr>
          <w:rFonts w:ascii="Times New Roman" w:hAnsi="Times New Roman" w:cs="Times New Roman"/>
          <w:sz w:val="24"/>
        </w:rPr>
        <w:t xml:space="preserve">The imagery here </w:t>
      </w:r>
      <w:r w:rsidR="00CE1120">
        <w:rPr>
          <w:rFonts w:ascii="Times New Roman" w:hAnsi="Times New Roman" w:cs="Times New Roman"/>
          <w:sz w:val="24"/>
        </w:rPr>
        <w:t xml:space="preserve">suggests that </w:t>
      </w:r>
      <w:r>
        <w:rPr>
          <w:rFonts w:ascii="Times New Roman" w:hAnsi="Times New Roman" w:cs="Times New Roman"/>
          <w:sz w:val="24"/>
        </w:rPr>
        <w:t xml:space="preserve">Cleopatra’s </w:t>
      </w:r>
      <w:r w:rsidR="00CE1120">
        <w:rPr>
          <w:rFonts w:ascii="Times New Roman" w:hAnsi="Times New Roman" w:cs="Times New Roman"/>
          <w:sz w:val="24"/>
        </w:rPr>
        <w:t xml:space="preserve">passions and love are as </w:t>
      </w:r>
      <w:r w:rsidR="00D70FC6">
        <w:rPr>
          <w:rFonts w:ascii="Times New Roman" w:hAnsi="Times New Roman" w:cs="Times New Roman"/>
          <w:sz w:val="24"/>
        </w:rPr>
        <w:t>‘</w:t>
      </w:r>
      <w:r w:rsidR="00CE1120">
        <w:rPr>
          <w:rFonts w:ascii="Times New Roman" w:hAnsi="Times New Roman" w:cs="Times New Roman"/>
          <w:sz w:val="24"/>
        </w:rPr>
        <w:t>pure</w:t>
      </w:r>
      <w:r w:rsidR="00D70FC6">
        <w:rPr>
          <w:rFonts w:ascii="Times New Roman" w:hAnsi="Times New Roman" w:cs="Times New Roman"/>
          <w:sz w:val="24"/>
        </w:rPr>
        <w:t>’</w:t>
      </w:r>
      <w:r w:rsidR="00CE1120">
        <w:rPr>
          <w:rFonts w:ascii="Times New Roman" w:hAnsi="Times New Roman" w:cs="Times New Roman"/>
          <w:sz w:val="24"/>
        </w:rPr>
        <w:t xml:space="preserve"> and natural as the sea</w:t>
      </w:r>
      <w:r w:rsidR="00062C78">
        <w:rPr>
          <w:rFonts w:ascii="Times New Roman" w:hAnsi="Times New Roman" w:cs="Times New Roman"/>
          <w:sz w:val="24"/>
        </w:rPr>
        <w:t>, with</w:t>
      </w:r>
      <w:r w:rsidR="00CE1120">
        <w:rPr>
          <w:rFonts w:ascii="Times New Roman" w:hAnsi="Times New Roman" w:cs="Times New Roman"/>
          <w:sz w:val="24"/>
        </w:rPr>
        <w:t xml:space="preserve"> </w:t>
      </w:r>
      <w:r w:rsidR="00062C78">
        <w:rPr>
          <w:rFonts w:ascii="Times New Roman" w:hAnsi="Times New Roman" w:cs="Times New Roman"/>
          <w:sz w:val="24"/>
        </w:rPr>
        <w:t>its</w:t>
      </w:r>
      <w:r w:rsidR="00CE1120">
        <w:rPr>
          <w:rFonts w:ascii="Times New Roman" w:hAnsi="Times New Roman" w:cs="Times New Roman"/>
          <w:sz w:val="24"/>
        </w:rPr>
        <w:t xml:space="preserve"> dangers of tempests and storms</w:t>
      </w:r>
      <w:r w:rsidR="00062C78">
        <w:rPr>
          <w:rFonts w:ascii="Times New Roman" w:hAnsi="Times New Roman" w:cs="Times New Roman"/>
          <w:sz w:val="24"/>
        </w:rPr>
        <w:t xml:space="preserve"> </w:t>
      </w:r>
      <w:r w:rsidR="00CE1120">
        <w:rPr>
          <w:rFonts w:ascii="Times New Roman" w:hAnsi="Times New Roman" w:cs="Times New Roman"/>
          <w:sz w:val="24"/>
        </w:rPr>
        <w:t>glorified as a result: the magnitude of Cleopatra’s love is embodied in her danger</w:t>
      </w:r>
      <w:r w:rsidR="00C9304D">
        <w:rPr>
          <w:rFonts w:ascii="Times New Roman" w:hAnsi="Times New Roman" w:cs="Times New Roman"/>
          <w:sz w:val="24"/>
        </w:rPr>
        <w:t>ous</w:t>
      </w:r>
      <w:r w:rsidR="00CE1120">
        <w:rPr>
          <w:rFonts w:ascii="Times New Roman" w:hAnsi="Times New Roman" w:cs="Times New Roman"/>
          <w:sz w:val="24"/>
        </w:rPr>
        <w:t xml:space="preserve"> passions. </w:t>
      </w:r>
      <w:r w:rsidR="00D70FC6">
        <w:rPr>
          <w:rFonts w:ascii="Times New Roman" w:hAnsi="Times New Roman" w:cs="Times New Roman"/>
          <w:sz w:val="24"/>
        </w:rPr>
        <w:t xml:space="preserve">Later in the play, </w:t>
      </w:r>
      <w:proofErr w:type="spellStart"/>
      <w:r w:rsidR="00CE1120">
        <w:rPr>
          <w:rFonts w:ascii="Times New Roman" w:hAnsi="Times New Roman" w:cs="Times New Roman"/>
          <w:sz w:val="24"/>
        </w:rPr>
        <w:t>Enobarbus</w:t>
      </w:r>
      <w:proofErr w:type="spellEnd"/>
      <w:r w:rsidR="00CE1120">
        <w:rPr>
          <w:rFonts w:ascii="Times New Roman" w:hAnsi="Times New Roman" w:cs="Times New Roman"/>
          <w:sz w:val="24"/>
        </w:rPr>
        <w:t xml:space="preserve"> descri</w:t>
      </w:r>
      <w:r w:rsidR="00D70FC6">
        <w:rPr>
          <w:rFonts w:ascii="Times New Roman" w:hAnsi="Times New Roman" w:cs="Times New Roman"/>
          <w:sz w:val="24"/>
        </w:rPr>
        <w:t>bes</w:t>
      </w:r>
      <w:r w:rsidR="00CE1120">
        <w:rPr>
          <w:rFonts w:ascii="Times New Roman" w:hAnsi="Times New Roman" w:cs="Times New Roman"/>
          <w:sz w:val="24"/>
        </w:rPr>
        <w:t xml:space="preserve"> Cleopatra’s first meeting with Antony</w:t>
      </w:r>
      <w:r w:rsidR="00D70FC6">
        <w:rPr>
          <w:rFonts w:ascii="Times New Roman" w:hAnsi="Times New Roman" w:cs="Times New Roman"/>
          <w:sz w:val="24"/>
        </w:rPr>
        <w:t>,</w:t>
      </w:r>
      <w:r w:rsidR="00CE1120">
        <w:rPr>
          <w:rFonts w:ascii="Times New Roman" w:hAnsi="Times New Roman" w:cs="Times New Roman"/>
          <w:sz w:val="24"/>
        </w:rPr>
        <w:t xml:space="preserve"> in which Cleopatra asserted her queenly domina</w:t>
      </w:r>
      <w:r w:rsidR="00062C78">
        <w:rPr>
          <w:rFonts w:ascii="Times New Roman" w:hAnsi="Times New Roman" w:cs="Times New Roman"/>
          <w:sz w:val="24"/>
        </w:rPr>
        <w:t>nce</w:t>
      </w:r>
      <w:r w:rsidR="00CE1120">
        <w:rPr>
          <w:rFonts w:ascii="Times New Roman" w:hAnsi="Times New Roman" w:cs="Times New Roman"/>
          <w:sz w:val="24"/>
        </w:rPr>
        <w:t xml:space="preserve">, enrapturing him </w:t>
      </w:r>
      <w:r w:rsidR="00062C78">
        <w:rPr>
          <w:rFonts w:ascii="Times New Roman" w:hAnsi="Times New Roman" w:cs="Times New Roman"/>
          <w:sz w:val="24"/>
        </w:rPr>
        <w:t>even more</w:t>
      </w:r>
      <w:r w:rsidR="00CE1120">
        <w:rPr>
          <w:rFonts w:ascii="Times New Roman" w:hAnsi="Times New Roman" w:cs="Times New Roman"/>
          <w:sz w:val="24"/>
        </w:rPr>
        <w:t xml:space="preserve"> as a result:</w:t>
      </w:r>
    </w:p>
    <w:p w14:paraId="72DCED5C" w14:textId="438A5EDF" w:rsidR="00CE1120" w:rsidRDefault="00CE1120" w:rsidP="002D58FB">
      <w:pPr>
        <w:spacing w:line="240" w:lineRule="auto"/>
        <w:ind w:left="720"/>
        <w:jc w:val="both"/>
        <w:rPr>
          <w:rFonts w:ascii="Times New Roman" w:hAnsi="Times New Roman" w:cs="Times New Roman"/>
          <w:sz w:val="24"/>
        </w:rPr>
      </w:pPr>
      <w:r>
        <w:rPr>
          <w:rFonts w:ascii="Times New Roman" w:hAnsi="Times New Roman" w:cs="Times New Roman"/>
          <w:sz w:val="24"/>
        </w:rPr>
        <w:t>Upon her landing, Antony sent to her,</w:t>
      </w:r>
    </w:p>
    <w:p w14:paraId="2E666934" w14:textId="147E0866" w:rsidR="00CE1120" w:rsidRDefault="00CE1120" w:rsidP="002D58FB">
      <w:pPr>
        <w:spacing w:line="240" w:lineRule="auto"/>
        <w:ind w:left="720"/>
        <w:jc w:val="both"/>
        <w:rPr>
          <w:rFonts w:ascii="Times New Roman" w:hAnsi="Times New Roman" w:cs="Times New Roman"/>
          <w:sz w:val="24"/>
        </w:rPr>
      </w:pPr>
      <w:r>
        <w:rPr>
          <w:rFonts w:ascii="Times New Roman" w:hAnsi="Times New Roman" w:cs="Times New Roman"/>
          <w:sz w:val="24"/>
        </w:rPr>
        <w:t>Invited her to supper. She replied,</w:t>
      </w:r>
    </w:p>
    <w:p w14:paraId="4214E368" w14:textId="32316507" w:rsidR="00CE1120" w:rsidRDefault="00CE1120" w:rsidP="002D58FB">
      <w:pPr>
        <w:spacing w:line="240" w:lineRule="auto"/>
        <w:ind w:left="720"/>
        <w:jc w:val="both"/>
        <w:rPr>
          <w:rFonts w:ascii="Times New Roman" w:hAnsi="Times New Roman" w:cs="Times New Roman"/>
          <w:sz w:val="24"/>
        </w:rPr>
      </w:pPr>
      <w:r>
        <w:rPr>
          <w:rFonts w:ascii="Times New Roman" w:hAnsi="Times New Roman" w:cs="Times New Roman"/>
          <w:sz w:val="24"/>
        </w:rPr>
        <w:t>It should be better he became her guest,</w:t>
      </w:r>
    </w:p>
    <w:p w14:paraId="2BFD907D" w14:textId="0FC7019B" w:rsidR="00CE1120" w:rsidRDefault="00CE1120" w:rsidP="002D58FB">
      <w:pPr>
        <w:spacing w:line="240" w:lineRule="auto"/>
        <w:ind w:left="720"/>
        <w:jc w:val="both"/>
        <w:rPr>
          <w:rFonts w:ascii="Times New Roman" w:hAnsi="Times New Roman" w:cs="Times New Roman"/>
          <w:sz w:val="24"/>
        </w:rPr>
      </w:pPr>
      <w:r>
        <w:rPr>
          <w:rFonts w:ascii="Times New Roman" w:hAnsi="Times New Roman" w:cs="Times New Roman"/>
          <w:sz w:val="24"/>
        </w:rPr>
        <w:t>Which she entreated. Our courteous Anthony,</w:t>
      </w:r>
    </w:p>
    <w:p w14:paraId="60956216" w14:textId="1DCB481B" w:rsidR="00CE1120" w:rsidRDefault="00CE1120" w:rsidP="002D58FB">
      <w:pPr>
        <w:spacing w:line="240" w:lineRule="auto"/>
        <w:ind w:left="720"/>
        <w:jc w:val="both"/>
        <w:rPr>
          <w:rFonts w:ascii="Times New Roman" w:hAnsi="Times New Roman" w:cs="Times New Roman"/>
          <w:sz w:val="24"/>
        </w:rPr>
      </w:pPr>
      <w:r>
        <w:rPr>
          <w:rFonts w:ascii="Times New Roman" w:hAnsi="Times New Roman" w:cs="Times New Roman"/>
          <w:sz w:val="24"/>
        </w:rPr>
        <w:t>Whom ne’er the word of ‘no’ woman heard speak,</w:t>
      </w:r>
    </w:p>
    <w:p w14:paraId="6A27B05F" w14:textId="15198055" w:rsidR="004C23E7" w:rsidRDefault="00CE1120" w:rsidP="002D58FB">
      <w:pPr>
        <w:spacing w:line="240" w:lineRule="auto"/>
        <w:ind w:left="720"/>
        <w:jc w:val="both"/>
        <w:rPr>
          <w:rFonts w:ascii="Times New Roman" w:hAnsi="Times New Roman" w:cs="Times New Roman"/>
          <w:sz w:val="24"/>
        </w:rPr>
      </w:pPr>
      <w:r>
        <w:rPr>
          <w:rFonts w:ascii="Times New Roman" w:hAnsi="Times New Roman" w:cs="Times New Roman"/>
          <w:sz w:val="24"/>
        </w:rPr>
        <w:t>Being barbered ten times o’er, goes to the feast…</w:t>
      </w:r>
      <w:r>
        <w:rPr>
          <w:rStyle w:val="FootnoteReference"/>
          <w:rFonts w:ascii="Times New Roman" w:hAnsi="Times New Roman" w:cs="Times New Roman"/>
          <w:sz w:val="24"/>
        </w:rPr>
        <w:footnoteReference w:id="125"/>
      </w:r>
    </w:p>
    <w:p w14:paraId="70AA4CB7" w14:textId="6E7C362F" w:rsidR="004C23E7" w:rsidRDefault="0020370B" w:rsidP="002D58FB">
      <w:pPr>
        <w:spacing w:line="240" w:lineRule="auto"/>
        <w:jc w:val="both"/>
        <w:rPr>
          <w:rFonts w:ascii="Times New Roman" w:hAnsi="Times New Roman" w:cs="Times New Roman"/>
          <w:sz w:val="24"/>
        </w:rPr>
      </w:pPr>
      <w:r>
        <w:rPr>
          <w:rFonts w:ascii="Times New Roman" w:hAnsi="Times New Roman" w:cs="Times New Roman"/>
          <w:sz w:val="24"/>
        </w:rPr>
        <w:t>Cleopatra</w:t>
      </w:r>
      <w:r w:rsidR="0083539E">
        <w:rPr>
          <w:rFonts w:ascii="Times New Roman" w:hAnsi="Times New Roman" w:cs="Times New Roman"/>
          <w:sz w:val="24"/>
        </w:rPr>
        <w:t xml:space="preserve"> </w:t>
      </w:r>
      <w:r>
        <w:rPr>
          <w:rFonts w:ascii="Times New Roman" w:hAnsi="Times New Roman" w:cs="Times New Roman"/>
          <w:sz w:val="24"/>
        </w:rPr>
        <w:t xml:space="preserve">here makes herself even more desirable to Antony </w:t>
      </w:r>
      <w:r w:rsidR="0083539E">
        <w:rPr>
          <w:rFonts w:ascii="Times New Roman" w:hAnsi="Times New Roman" w:cs="Times New Roman"/>
          <w:sz w:val="24"/>
        </w:rPr>
        <w:t>precisely because she refuses to play by the usual r</w:t>
      </w:r>
      <w:r w:rsidR="00BC0F2D">
        <w:rPr>
          <w:rFonts w:ascii="Times New Roman" w:hAnsi="Times New Roman" w:cs="Times New Roman"/>
          <w:sz w:val="24"/>
        </w:rPr>
        <w:t>u</w:t>
      </w:r>
      <w:r w:rsidR="0083539E">
        <w:rPr>
          <w:rFonts w:ascii="Times New Roman" w:hAnsi="Times New Roman" w:cs="Times New Roman"/>
          <w:sz w:val="24"/>
        </w:rPr>
        <w:t>les governing female etiquette</w:t>
      </w:r>
      <w:r w:rsidR="00BC0F2D">
        <w:rPr>
          <w:rFonts w:ascii="Times New Roman" w:hAnsi="Times New Roman" w:cs="Times New Roman"/>
          <w:sz w:val="24"/>
        </w:rPr>
        <w:t xml:space="preserve">, enabled and made even more alluring by the fact she is a queen. </w:t>
      </w:r>
      <w:r w:rsidR="00054980">
        <w:rPr>
          <w:rFonts w:ascii="Times New Roman" w:hAnsi="Times New Roman" w:cs="Times New Roman"/>
          <w:sz w:val="24"/>
        </w:rPr>
        <w:t xml:space="preserve">Perhaps most important for understanding Shakespeare’s characterisation of Cleopatra, however, is the short story </w:t>
      </w:r>
      <w:proofErr w:type="spellStart"/>
      <w:r w:rsidR="00054980">
        <w:rPr>
          <w:rFonts w:ascii="Times New Roman" w:hAnsi="Times New Roman" w:cs="Times New Roman"/>
          <w:sz w:val="24"/>
        </w:rPr>
        <w:t>Enobarbus</w:t>
      </w:r>
      <w:proofErr w:type="spellEnd"/>
      <w:r w:rsidR="00054980">
        <w:rPr>
          <w:rFonts w:ascii="Times New Roman" w:hAnsi="Times New Roman" w:cs="Times New Roman"/>
          <w:sz w:val="24"/>
        </w:rPr>
        <w:t xml:space="preserve"> tells just before this:</w:t>
      </w:r>
    </w:p>
    <w:p w14:paraId="1E07DCBE" w14:textId="0BE154AD" w:rsidR="00054980" w:rsidRDefault="00054980" w:rsidP="002D58FB">
      <w:pPr>
        <w:spacing w:line="240" w:lineRule="auto"/>
        <w:ind w:left="720"/>
        <w:jc w:val="both"/>
        <w:rPr>
          <w:rFonts w:ascii="Times New Roman" w:hAnsi="Times New Roman" w:cs="Times New Roman"/>
          <w:sz w:val="24"/>
        </w:rPr>
      </w:pPr>
      <w:r>
        <w:rPr>
          <w:rFonts w:ascii="Times New Roman" w:hAnsi="Times New Roman" w:cs="Times New Roman"/>
          <w:sz w:val="24"/>
        </w:rPr>
        <w:t>I saw her once</w:t>
      </w:r>
    </w:p>
    <w:p w14:paraId="5E7A16D6" w14:textId="499A867C" w:rsidR="00054980" w:rsidRDefault="00054980"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Hop forty paces through the public street; </w:t>
      </w:r>
    </w:p>
    <w:p w14:paraId="48262FFE" w14:textId="2EB3995D" w:rsidR="00054980" w:rsidRDefault="00054980" w:rsidP="002D58FB">
      <w:pPr>
        <w:spacing w:line="240" w:lineRule="auto"/>
        <w:ind w:left="720"/>
        <w:jc w:val="both"/>
        <w:rPr>
          <w:rFonts w:ascii="Times New Roman" w:hAnsi="Times New Roman" w:cs="Times New Roman"/>
          <w:sz w:val="24"/>
        </w:rPr>
      </w:pPr>
      <w:r>
        <w:rPr>
          <w:rFonts w:ascii="Times New Roman" w:hAnsi="Times New Roman" w:cs="Times New Roman"/>
          <w:sz w:val="24"/>
        </w:rPr>
        <w:t>And having lost her breath, she spoke, and panted,</w:t>
      </w:r>
    </w:p>
    <w:p w14:paraId="3B0F62BF" w14:textId="592FCB0E" w:rsidR="00054980" w:rsidRDefault="00054980" w:rsidP="002D58FB">
      <w:pPr>
        <w:spacing w:line="240" w:lineRule="auto"/>
        <w:ind w:left="720"/>
        <w:jc w:val="both"/>
        <w:rPr>
          <w:rFonts w:ascii="Times New Roman" w:hAnsi="Times New Roman" w:cs="Times New Roman"/>
          <w:sz w:val="24"/>
        </w:rPr>
      </w:pPr>
      <w:r>
        <w:rPr>
          <w:rFonts w:ascii="Times New Roman" w:hAnsi="Times New Roman" w:cs="Times New Roman"/>
          <w:sz w:val="24"/>
        </w:rPr>
        <w:t>That she did make defect perfection,</w:t>
      </w:r>
    </w:p>
    <w:p w14:paraId="198DCBEE" w14:textId="2A483FE3" w:rsidR="00054980" w:rsidRDefault="00054980" w:rsidP="002D58FB">
      <w:pPr>
        <w:spacing w:line="240" w:lineRule="auto"/>
        <w:ind w:left="720"/>
        <w:jc w:val="both"/>
        <w:rPr>
          <w:rFonts w:ascii="Times New Roman" w:hAnsi="Times New Roman" w:cs="Times New Roman"/>
          <w:sz w:val="24"/>
        </w:rPr>
      </w:pPr>
      <w:r>
        <w:rPr>
          <w:rFonts w:ascii="Times New Roman" w:hAnsi="Times New Roman" w:cs="Times New Roman"/>
          <w:sz w:val="24"/>
        </w:rPr>
        <w:t>And breathless, power breathe forth.</w:t>
      </w:r>
      <w:r>
        <w:rPr>
          <w:rStyle w:val="FootnoteReference"/>
          <w:rFonts w:ascii="Times New Roman" w:hAnsi="Times New Roman" w:cs="Times New Roman"/>
          <w:sz w:val="24"/>
        </w:rPr>
        <w:footnoteReference w:id="126"/>
      </w:r>
    </w:p>
    <w:p w14:paraId="5CA1940B" w14:textId="697B703A" w:rsidR="004C23E7" w:rsidRDefault="00054980" w:rsidP="002D58FB">
      <w:pPr>
        <w:spacing w:line="240" w:lineRule="auto"/>
        <w:jc w:val="both"/>
        <w:rPr>
          <w:rFonts w:ascii="Times New Roman" w:hAnsi="Times New Roman" w:cs="Times New Roman"/>
          <w:sz w:val="24"/>
        </w:rPr>
      </w:pPr>
      <w:r>
        <w:rPr>
          <w:rFonts w:ascii="Times New Roman" w:hAnsi="Times New Roman" w:cs="Times New Roman"/>
          <w:sz w:val="24"/>
        </w:rPr>
        <w:t xml:space="preserve">This epitomises Shakespeare’s characterisation of Cleopatra: all of the ‘vilest things’ which Elizabethan moralists identified in women ‘become themselves in her’ and we as an audience cannot help but share in Antony and </w:t>
      </w:r>
      <w:proofErr w:type="spellStart"/>
      <w:r>
        <w:rPr>
          <w:rFonts w:ascii="Times New Roman" w:hAnsi="Times New Roman" w:cs="Times New Roman"/>
          <w:sz w:val="24"/>
        </w:rPr>
        <w:t>Enobarbus</w:t>
      </w:r>
      <w:proofErr w:type="spellEnd"/>
      <w:r>
        <w:rPr>
          <w:rFonts w:ascii="Times New Roman" w:hAnsi="Times New Roman" w:cs="Times New Roman"/>
          <w:sz w:val="24"/>
        </w:rPr>
        <w:t xml:space="preserve">’ admiration </w:t>
      </w:r>
      <w:r w:rsidR="00062C78">
        <w:rPr>
          <w:rFonts w:ascii="Times New Roman" w:hAnsi="Times New Roman" w:cs="Times New Roman"/>
          <w:sz w:val="24"/>
        </w:rPr>
        <w:t>of this</w:t>
      </w:r>
      <w:r>
        <w:rPr>
          <w:rFonts w:ascii="Times New Roman" w:hAnsi="Times New Roman" w:cs="Times New Roman"/>
          <w:sz w:val="24"/>
        </w:rPr>
        <w:t>.</w:t>
      </w:r>
      <w:r>
        <w:rPr>
          <w:rStyle w:val="FootnoteReference"/>
          <w:rFonts w:ascii="Times New Roman" w:hAnsi="Times New Roman" w:cs="Times New Roman"/>
          <w:sz w:val="24"/>
        </w:rPr>
        <w:footnoteReference w:id="127"/>
      </w:r>
      <w:r w:rsidR="00C9304D">
        <w:rPr>
          <w:rFonts w:ascii="Times New Roman" w:hAnsi="Times New Roman" w:cs="Times New Roman"/>
          <w:sz w:val="24"/>
        </w:rPr>
        <w:t xml:space="preserve"> </w:t>
      </w:r>
      <w:r w:rsidR="007525B5" w:rsidRPr="007525B5">
        <w:rPr>
          <w:rFonts w:ascii="Times New Roman" w:hAnsi="Times New Roman" w:cs="Times New Roman"/>
          <w:sz w:val="24"/>
        </w:rPr>
        <w:t>Her death, like that of Daniel’s Cleopatra, presents her at her best, clothed in her finest robes and wearing her crown</w:t>
      </w:r>
      <w:r w:rsidR="007525B5">
        <w:rPr>
          <w:rFonts w:ascii="Times New Roman" w:hAnsi="Times New Roman" w:cs="Times New Roman"/>
          <w:sz w:val="24"/>
        </w:rPr>
        <w:t>, in an almost ritualistic act of personal defiance</w:t>
      </w:r>
      <w:r w:rsidR="007525B5" w:rsidRPr="007525B5">
        <w:rPr>
          <w:rFonts w:ascii="Times New Roman" w:hAnsi="Times New Roman" w:cs="Times New Roman"/>
          <w:sz w:val="24"/>
        </w:rPr>
        <w:t>.</w:t>
      </w:r>
      <w:r w:rsidR="007525B5" w:rsidRPr="007525B5">
        <w:rPr>
          <w:rFonts w:ascii="Times New Roman" w:hAnsi="Times New Roman" w:cs="Times New Roman"/>
          <w:sz w:val="24"/>
          <w:vertAlign w:val="superscript"/>
        </w:rPr>
        <w:footnoteReference w:id="128"/>
      </w:r>
      <w:r w:rsidR="007525B5" w:rsidRPr="007525B5">
        <w:rPr>
          <w:rFonts w:ascii="Times New Roman" w:hAnsi="Times New Roman" w:cs="Times New Roman"/>
          <w:sz w:val="24"/>
        </w:rPr>
        <w:t xml:space="preserve"> Unlike Daniel, however, Shakespeare </w:t>
      </w:r>
      <w:r w:rsidR="00A654AA">
        <w:rPr>
          <w:rFonts w:ascii="Times New Roman" w:hAnsi="Times New Roman" w:cs="Times New Roman"/>
          <w:sz w:val="24"/>
        </w:rPr>
        <w:t>allows</w:t>
      </w:r>
      <w:r w:rsidR="007525B5" w:rsidRPr="007525B5">
        <w:rPr>
          <w:rFonts w:ascii="Times New Roman" w:hAnsi="Times New Roman" w:cs="Times New Roman"/>
          <w:sz w:val="24"/>
        </w:rPr>
        <w:t xml:space="preserve"> Cleopatra</w:t>
      </w:r>
      <w:r w:rsidR="007525B5">
        <w:rPr>
          <w:rFonts w:ascii="Times New Roman" w:hAnsi="Times New Roman" w:cs="Times New Roman"/>
          <w:sz w:val="24"/>
        </w:rPr>
        <w:t xml:space="preserve"> to stay true to herself in her</w:t>
      </w:r>
      <w:r w:rsidR="007525B5" w:rsidRPr="007525B5">
        <w:rPr>
          <w:rFonts w:ascii="Times New Roman" w:hAnsi="Times New Roman" w:cs="Times New Roman"/>
          <w:sz w:val="24"/>
        </w:rPr>
        <w:t xml:space="preserve"> final moments</w:t>
      </w:r>
      <w:r w:rsidR="007525B5">
        <w:rPr>
          <w:rFonts w:ascii="Times New Roman" w:hAnsi="Times New Roman" w:cs="Times New Roman"/>
          <w:sz w:val="24"/>
        </w:rPr>
        <w:t>.</w:t>
      </w:r>
      <w:r w:rsidR="00CD5A65">
        <w:rPr>
          <w:rFonts w:ascii="Times New Roman" w:hAnsi="Times New Roman" w:cs="Times New Roman"/>
          <w:sz w:val="24"/>
        </w:rPr>
        <w:t xml:space="preserve"> </w:t>
      </w:r>
      <w:r w:rsidR="007525B5">
        <w:rPr>
          <w:rFonts w:ascii="Times New Roman" w:hAnsi="Times New Roman" w:cs="Times New Roman"/>
          <w:sz w:val="24"/>
        </w:rPr>
        <w:t>D</w:t>
      </w:r>
      <w:r w:rsidR="00114ABD">
        <w:rPr>
          <w:rFonts w:ascii="Times New Roman" w:hAnsi="Times New Roman" w:cs="Times New Roman"/>
          <w:sz w:val="24"/>
        </w:rPr>
        <w:t xml:space="preserve">espite her own assertion that </w:t>
      </w:r>
    </w:p>
    <w:p w14:paraId="6E308EBE" w14:textId="65B3BC62" w:rsidR="00114ABD" w:rsidRDefault="00114ABD" w:rsidP="002D58FB">
      <w:pPr>
        <w:spacing w:line="240" w:lineRule="auto"/>
        <w:ind w:left="720"/>
        <w:jc w:val="both"/>
        <w:rPr>
          <w:rFonts w:ascii="Times New Roman" w:hAnsi="Times New Roman" w:cs="Times New Roman"/>
          <w:sz w:val="24"/>
        </w:rPr>
      </w:pPr>
      <w:r>
        <w:rPr>
          <w:rFonts w:ascii="Times New Roman" w:hAnsi="Times New Roman" w:cs="Times New Roman"/>
          <w:sz w:val="24"/>
        </w:rPr>
        <w:t>…I have nothing</w:t>
      </w:r>
    </w:p>
    <w:p w14:paraId="6C96EC4B" w14:textId="66C1DECA" w:rsidR="00114ABD" w:rsidRDefault="00114ABD" w:rsidP="002D58FB">
      <w:pPr>
        <w:spacing w:line="240" w:lineRule="auto"/>
        <w:ind w:left="720"/>
        <w:jc w:val="both"/>
        <w:rPr>
          <w:rFonts w:ascii="Times New Roman" w:hAnsi="Times New Roman" w:cs="Times New Roman"/>
          <w:sz w:val="24"/>
        </w:rPr>
      </w:pPr>
      <w:r>
        <w:rPr>
          <w:rFonts w:ascii="Times New Roman" w:hAnsi="Times New Roman" w:cs="Times New Roman"/>
          <w:sz w:val="24"/>
        </w:rPr>
        <w:lastRenderedPageBreak/>
        <w:t>of woman in me- now from head to foot</w:t>
      </w:r>
    </w:p>
    <w:p w14:paraId="3A4B766D" w14:textId="77777777" w:rsidR="007525B5" w:rsidRDefault="00114ABD" w:rsidP="002D58FB">
      <w:pPr>
        <w:spacing w:line="240" w:lineRule="auto"/>
        <w:ind w:left="720"/>
        <w:jc w:val="both"/>
        <w:rPr>
          <w:rFonts w:ascii="Times New Roman" w:hAnsi="Times New Roman" w:cs="Times New Roman"/>
          <w:sz w:val="24"/>
        </w:rPr>
      </w:pPr>
      <w:r>
        <w:rPr>
          <w:rFonts w:ascii="Times New Roman" w:hAnsi="Times New Roman" w:cs="Times New Roman"/>
          <w:sz w:val="24"/>
        </w:rPr>
        <w:t>I am marble constant…</w:t>
      </w:r>
      <w:r>
        <w:rPr>
          <w:rStyle w:val="FootnoteReference"/>
          <w:rFonts w:ascii="Times New Roman" w:hAnsi="Times New Roman" w:cs="Times New Roman"/>
          <w:sz w:val="24"/>
        </w:rPr>
        <w:footnoteReference w:id="129"/>
      </w:r>
      <w:r w:rsidR="007525B5">
        <w:rPr>
          <w:rFonts w:ascii="Times New Roman" w:hAnsi="Times New Roman" w:cs="Times New Roman"/>
          <w:sz w:val="24"/>
        </w:rPr>
        <w:t xml:space="preserve"> </w:t>
      </w:r>
    </w:p>
    <w:p w14:paraId="58A3F672" w14:textId="1749A271" w:rsidR="00187A51" w:rsidRDefault="007525B5" w:rsidP="002D58FB">
      <w:pPr>
        <w:spacing w:line="240" w:lineRule="auto"/>
        <w:jc w:val="both"/>
        <w:rPr>
          <w:rFonts w:ascii="Times New Roman" w:hAnsi="Times New Roman" w:cs="Times New Roman"/>
          <w:sz w:val="24"/>
        </w:rPr>
      </w:pPr>
      <w:r>
        <w:rPr>
          <w:rFonts w:ascii="Times New Roman" w:hAnsi="Times New Roman" w:cs="Times New Roman"/>
          <w:sz w:val="24"/>
        </w:rPr>
        <w:t>h</w:t>
      </w:r>
      <w:r w:rsidR="00114ABD">
        <w:rPr>
          <w:rFonts w:ascii="Times New Roman" w:hAnsi="Times New Roman" w:cs="Times New Roman"/>
          <w:sz w:val="24"/>
        </w:rPr>
        <w:t>er death is not</w:t>
      </w:r>
      <w:r>
        <w:rPr>
          <w:rFonts w:ascii="Times New Roman" w:hAnsi="Times New Roman" w:cs="Times New Roman"/>
          <w:sz w:val="24"/>
        </w:rPr>
        <w:t xml:space="preserve"> </w:t>
      </w:r>
      <w:r w:rsidR="00114ABD">
        <w:rPr>
          <w:rFonts w:ascii="Times New Roman" w:hAnsi="Times New Roman" w:cs="Times New Roman"/>
          <w:sz w:val="24"/>
        </w:rPr>
        <w:t xml:space="preserve">characterised by this suggested new virtuous constancy, but rather by her </w:t>
      </w:r>
      <w:r w:rsidR="00450ECF">
        <w:rPr>
          <w:rFonts w:ascii="Times New Roman" w:hAnsi="Times New Roman" w:cs="Times New Roman"/>
          <w:sz w:val="24"/>
        </w:rPr>
        <w:t>usual</w:t>
      </w:r>
      <w:r w:rsidR="00114ABD">
        <w:rPr>
          <w:rFonts w:ascii="Times New Roman" w:hAnsi="Times New Roman" w:cs="Times New Roman"/>
          <w:sz w:val="24"/>
        </w:rPr>
        <w:t xml:space="preserve"> stormy passions, mingling ‘sentiments of Roman nobility and Stoic resolution…with almost every other possible mood- pride, tenderness, vanity, jealousy, humour and mockery, “immortal longings”, love both ideal and sensual.’</w:t>
      </w:r>
      <w:r w:rsidR="00114ABD">
        <w:rPr>
          <w:rStyle w:val="FootnoteReference"/>
          <w:rFonts w:ascii="Times New Roman" w:hAnsi="Times New Roman" w:cs="Times New Roman"/>
          <w:sz w:val="24"/>
        </w:rPr>
        <w:footnoteReference w:id="130"/>
      </w:r>
      <w:r w:rsidR="00375139">
        <w:rPr>
          <w:rFonts w:ascii="Times New Roman" w:hAnsi="Times New Roman" w:cs="Times New Roman"/>
          <w:sz w:val="24"/>
        </w:rPr>
        <w:t xml:space="preserve"> </w:t>
      </w:r>
      <w:r w:rsidR="00A44419">
        <w:rPr>
          <w:rFonts w:ascii="Times New Roman" w:hAnsi="Times New Roman" w:cs="Times New Roman"/>
          <w:sz w:val="24"/>
        </w:rPr>
        <w:t>She turns from magisterial dignity</w:t>
      </w:r>
      <w:r w:rsidR="00450ECF">
        <w:rPr>
          <w:rFonts w:ascii="Times New Roman" w:hAnsi="Times New Roman" w:cs="Times New Roman"/>
          <w:sz w:val="24"/>
        </w:rPr>
        <w:t xml:space="preserve">, </w:t>
      </w:r>
      <w:r w:rsidR="00A44419">
        <w:rPr>
          <w:rFonts w:ascii="Times New Roman" w:hAnsi="Times New Roman" w:cs="Times New Roman"/>
          <w:sz w:val="24"/>
        </w:rPr>
        <w:t xml:space="preserve">dressed in her queenly robes, to jealousy of </w:t>
      </w:r>
      <w:proofErr w:type="spellStart"/>
      <w:r w:rsidR="00A44419">
        <w:rPr>
          <w:rFonts w:ascii="Times New Roman" w:hAnsi="Times New Roman" w:cs="Times New Roman"/>
          <w:sz w:val="24"/>
        </w:rPr>
        <w:t>Iras</w:t>
      </w:r>
      <w:proofErr w:type="spellEnd"/>
      <w:r w:rsidR="00A44419">
        <w:rPr>
          <w:rFonts w:ascii="Times New Roman" w:hAnsi="Times New Roman" w:cs="Times New Roman"/>
          <w:sz w:val="24"/>
        </w:rPr>
        <w:t>, to mocking Octavian</w:t>
      </w:r>
      <w:r w:rsidR="00F364A7">
        <w:rPr>
          <w:rFonts w:ascii="Times New Roman" w:hAnsi="Times New Roman" w:cs="Times New Roman"/>
          <w:sz w:val="24"/>
        </w:rPr>
        <w:t>,</w:t>
      </w:r>
      <w:r w:rsidR="00A44419">
        <w:rPr>
          <w:rFonts w:ascii="Times New Roman" w:hAnsi="Times New Roman" w:cs="Times New Roman"/>
          <w:sz w:val="24"/>
        </w:rPr>
        <w:t xml:space="preserve"> to imagining the asp is her baby.</w:t>
      </w:r>
      <w:r w:rsidR="00A44419">
        <w:rPr>
          <w:rStyle w:val="FootnoteReference"/>
          <w:rFonts w:ascii="Times New Roman" w:hAnsi="Times New Roman" w:cs="Times New Roman"/>
          <w:sz w:val="24"/>
        </w:rPr>
        <w:footnoteReference w:id="131"/>
      </w:r>
      <w:r w:rsidR="00A44419">
        <w:rPr>
          <w:rFonts w:ascii="Times New Roman" w:hAnsi="Times New Roman" w:cs="Times New Roman"/>
          <w:sz w:val="24"/>
        </w:rPr>
        <w:t xml:space="preserve"> In contrast to the stoical death of Brutus in </w:t>
      </w:r>
      <w:r w:rsidR="00A44419">
        <w:rPr>
          <w:rFonts w:ascii="Times New Roman" w:hAnsi="Times New Roman" w:cs="Times New Roman"/>
          <w:i/>
          <w:sz w:val="24"/>
        </w:rPr>
        <w:t>Julius Caesar</w:t>
      </w:r>
      <w:r w:rsidR="00A44419">
        <w:rPr>
          <w:rFonts w:ascii="Times New Roman" w:hAnsi="Times New Roman" w:cs="Times New Roman"/>
          <w:sz w:val="24"/>
        </w:rPr>
        <w:t xml:space="preserve">, whose last </w:t>
      </w:r>
      <w:r w:rsidR="00062C78">
        <w:rPr>
          <w:rFonts w:ascii="Times New Roman" w:hAnsi="Times New Roman" w:cs="Times New Roman"/>
          <w:sz w:val="24"/>
        </w:rPr>
        <w:t>lines</w:t>
      </w:r>
      <w:r w:rsidR="00A44419">
        <w:rPr>
          <w:rFonts w:ascii="Times New Roman" w:hAnsi="Times New Roman" w:cs="Times New Roman"/>
          <w:sz w:val="24"/>
        </w:rPr>
        <w:t xml:space="preserve"> are an immortalising couplet,</w:t>
      </w:r>
      <w:r w:rsidR="00A44419">
        <w:rPr>
          <w:rStyle w:val="FootnoteReference"/>
          <w:rFonts w:ascii="Times New Roman" w:hAnsi="Times New Roman" w:cs="Times New Roman"/>
          <w:sz w:val="24"/>
        </w:rPr>
        <w:footnoteReference w:id="132"/>
      </w:r>
      <w:r w:rsidR="00A44419">
        <w:rPr>
          <w:rFonts w:ascii="Times New Roman" w:hAnsi="Times New Roman" w:cs="Times New Roman"/>
          <w:sz w:val="24"/>
        </w:rPr>
        <w:t xml:space="preserve"> Cleopatra’s last words are ambiguously cut short: ‘What should I stay-’</w:t>
      </w:r>
      <w:r w:rsidR="00A44419">
        <w:rPr>
          <w:rStyle w:val="FootnoteReference"/>
          <w:rFonts w:ascii="Times New Roman" w:hAnsi="Times New Roman" w:cs="Times New Roman"/>
          <w:sz w:val="24"/>
        </w:rPr>
        <w:footnoteReference w:id="133"/>
      </w:r>
      <w:r w:rsidR="00A44419">
        <w:rPr>
          <w:rFonts w:ascii="Times New Roman" w:hAnsi="Times New Roman" w:cs="Times New Roman"/>
          <w:sz w:val="24"/>
        </w:rPr>
        <w:t xml:space="preserve"> </w:t>
      </w:r>
      <w:r w:rsidR="006F4934">
        <w:rPr>
          <w:rFonts w:ascii="Times New Roman" w:hAnsi="Times New Roman" w:cs="Times New Roman"/>
          <w:sz w:val="24"/>
        </w:rPr>
        <w:t xml:space="preserve">There is a sense that Cleopatra is </w:t>
      </w:r>
      <w:r w:rsidR="003B282D">
        <w:rPr>
          <w:rFonts w:ascii="Times New Roman" w:hAnsi="Times New Roman" w:cs="Times New Roman"/>
          <w:sz w:val="24"/>
        </w:rPr>
        <w:t>intensely aware of</w:t>
      </w:r>
      <w:r w:rsidR="006F4934">
        <w:rPr>
          <w:rFonts w:ascii="Times New Roman" w:hAnsi="Times New Roman" w:cs="Times New Roman"/>
          <w:sz w:val="24"/>
        </w:rPr>
        <w:t xml:space="preserve"> the performance of dying and that</w:t>
      </w:r>
      <w:r w:rsidR="003B282D">
        <w:rPr>
          <w:rFonts w:ascii="Times New Roman" w:hAnsi="Times New Roman" w:cs="Times New Roman"/>
          <w:sz w:val="24"/>
        </w:rPr>
        <w:t>,</w:t>
      </w:r>
      <w:r w:rsidR="006F4934">
        <w:rPr>
          <w:rFonts w:ascii="Times New Roman" w:hAnsi="Times New Roman" w:cs="Times New Roman"/>
          <w:sz w:val="24"/>
        </w:rPr>
        <w:t xml:space="preserve"> unlike Brutus’ </w:t>
      </w:r>
      <w:r w:rsidR="00C45C2F">
        <w:rPr>
          <w:rFonts w:ascii="Times New Roman" w:hAnsi="Times New Roman" w:cs="Times New Roman"/>
          <w:sz w:val="24"/>
        </w:rPr>
        <w:t>finalistic</w:t>
      </w:r>
      <w:r w:rsidR="006F4934">
        <w:rPr>
          <w:rFonts w:ascii="Times New Roman" w:hAnsi="Times New Roman" w:cs="Times New Roman"/>
          <w:sz w:val="24"/>
        </w:rPr>
        <w:t xml:space="preserve"> determination, Cleopatra </w:t>
      </w:r>
      <w:r w:rsidR="003B282D">
        <w:rPr>
          <w:rFonts w:ascii="Times New Roman" w:hAnsi="Times New Roman" w:cs="Times New Roman"/>
          <w:sz w:val="24"/>
        </w:rPr>
        <w:t>wants</w:t>
      </w:r>
      <w:r w:rsidR="006F4934">
        <w:rPr>
          <w:rFonts w:ascii="Times New Roman" w:hAnsi="Times New Roman" w:cs="Times New Roman"/>
          <w:sz w:val="24"/>
        </w:rPr>
        <w:t xml:space="preserve"> to go on performing until the</w:t>
      </w:r>
      <w:r w:rsidR="003B282D">
        <w:rPr>
          <w:rFonts w:ascii="Times New Roman" w:hAnsi="Times New Roman" w:cs="Times New Roman"/>
          <w:sz w:val="24"/>
        </w:rPr>
        <w:t xml:space="preserve"> end</w:t>
      </w:r>
      <w:r w:rsidR="006F4934">
        <w:rPr>
          <w:rFonts w:ascii="Times New Roman" w:hAnsi="Times New Roman" w:cs="Times New Roman"/>
          <w:sz w:val="24"/>
        </w:rPr>
        <w:t>.</w:t>
      </w:r>
      <w:r w:rsidR="00FF30DD">
        <w:rPr>
          <w:rFonts w:ascii="Times New Roman" w:hAnsi="Times New Roman" w:cs="Times New Roman"/>
          <w:sz w:val="24"/>
        </w:rPr>
        <w:t xml:space="preserve"> </w:t>
      </w:r>
    </w:p>
    <w:p w14:paraId="14808E14" w14:textId="63E5F07C" w:rsidR="00054980" w:rsidRDefault="00FF30DD" w:rsidP="002D58FB">
      <w:pPr>
        <w:spacing w:line="240" w:lineRule="auto"/>
        <w:jc w:val="both"/>
        <w:rPr>
          <w:rFonts w:ascii="Times New Roman" w:hAnsi="Times New Roman" w:cs="Times New Roman"/>
          <w:sz w:val="24"/>
        </w:rPr>
      </w:pPr>
      <w:r>
        <w:rPr>
          <w:rFonts w:ascii="Times New Roman" w:hAnsi="Times New Roman" w:cs="Times New Roman"/>
          <w:sz w:val="24"/>
        </w:rPr>
        <w:t xml:space="preserve">However, although Shakespeare may </w:t>
      </w:r>
      <w:r w:rsidR="0031475D">
        <w:rPr>
          <w:rFonts w:ascii="Times New Roman" w:hAnsi="Times New Roman" w:cs="Times New Roman"/>
          <w:sz w:val="24"/>
        </w:rPr>
        <w:t>admire</w:t>
      </w:r>
      <w:r>
        <w:rPr>
          <w:rFonts w:ascii="Times New Roman" w:hAnsi="Times New Roman" w:cs="Times New Roman"/>
          <w:sz w:val="24"/>
        </w:rPr>
        <w:t xml:space="preserve"> Cleopatr</w:t>
      </w:r>
      <w:r w:rsidR="0031475D">
        <w:rPr>
          <w:rFonts w:ascii="Times New Roman" w:hAnsi="Times New Roman" w:cs="Times New Roman"/>
          <w:sz w:val="24"/>
        </w:rPr>
        <w:t>a</w:t>
      </w:r>
      <w:r>
        <w:rPr>
          <w:rFonts w:ascii="Times New Roman" w:hAnsi="Times New Roman" w:cs="Times New Roman"/>
          <w:sz w:val="24"/>
        </w:rPr>
        <w:t xml:space="preserve">, he also </w:t>
      </w:r>
      <w:r w:rsidR="00D12D05">
        <w:rPr>
          <w:rFonts w:ascii="Times New Roman" w:hAnsi="Times New Roman" w:cs="Times New Roman"/>
          <w:sz w:val="24"/>
        </w:rPr>
        <w:t>include</w:t>
      </w:r>
      <w:r w:rsidR="00402724">
        <w:rPr>
          <w:rFonts w:ascii="Times New Roman" w:hAnsi="Times New Roman" w:cs="Times New Roman"/>
          <w:sz w:val="24"/>
        </w:rPr>
        <w:t>d</w:t>
      </w:r>
      <w:r>
        <w:rPr>
          <w:rFonts w:ascii="Times New Roman" w:hAnsi="Times New Roman" w:cs="Times New Roman"/>
          <w:sz w:val="24"/>
        </w:rPr>
        <w:t xml:space="preserve"> a traditional moralising view alongside his radical reassessment of female virtue.</w:t>
      </w:r>
      <w:r w:rsidR="004957CF">
        <w:rPr>
          <w:rFonts w:ascii="Times New Roman" w:hAnsi="Times New Roman" w:cs="Times New Roman"/>
          <w:sz w:val="24"/>
        </w:rPr>
        <w:t xml:space="preserve"> </w:t>
      </w:r>
      <w:r w:rsidR="009E6682">
        <w:rPr>
          <w:rFonts w:ascii="Times New Roman" w:hAnsi="Times New Roman" w:cs="Times New Roman"/>
          <w:sz w:val="24"/>
        </w:rPr>
        <w:t xml:space="preserve">For example, </w:t>
      </w:r>
      <w:r w:rsidR="004957CF">
        <w:rPr>
          <w:rFonts w:ascii="Times New Roman" w:hAnsi="Times New Roman" w:cs="Times New Roman"/>
          <w:sz w:val="24"/>
        </w:rPr>
        <w:t>Cleopatra’s flight from</w:t>
      </w:r>
      <w:r w:rsidR="00FC6646">
        <w:rPr>
          <w:rFonts w:ascii="Times New Roman" w:hAnsi="Times New Roman" w:cs="Times New Roman"/>
          <w:sz w:val="24"/>
        </w:rPr>
        <w:t xml:space="preserve"> </w:t>
      </w:r>
      <w:r w:rsidR="004957CF">
        <w:rPr>
          <w:rFonts w:ascii="Times New Roman" w:hAnsi="Times New Roman" w:cs="Times New Roman"/>
          <w:sz w:val="24"/>
        </w:rPr>
        <w:t>Actiu</w:t>
      </w:r>
      <w:r w:rsidR="009E6682">
        <w:rPr>
          <w:rFonts w:ascii="Times New Roman" w:hAnsi="Times New Roman" w:cs="Times New Roman"/>
          <w:sz w:val="24"/>
        </w:rPr>
        <w:t xml:space="preserve">m </w:t>
      </w:r>
      <w:r w:rsidR="004957CF">
        <w:rPr>
          <w:rFonts w:ascii="Times New Roman" w:hAnsi="Times New Roman" w:cs="Times New Roman"/>
          <w:sz w:val="24"/>
        </w:rPr>
        <w:t>is p</w:t>
      </w:r>
      <w:r w:rsidR="00062C78">
        <w:rPr>
          <w:rFonts w:ascii="Times New Roman" w:hAnsi="Times New Roman" w:cs="Times New Roman"/>
          <w:sz w:val="24"/>
        </w:rPr>
        <w:t>ortrayed</w:t>
      </w:r>
      <w:r w:rsidR="004957CF">
        <w:rPr>
          <w:rFonts w:ascii="Times New Roman" w:hAnsi="Times New Roman" w:cs="Times New Roman"/>
          <w:sz w:val="24"/>
        </w:rPr>
        <w:t xml:space="preserve"> as a product of Cleopatra’s inconstancy with </w:t>
      </w:r>
      <w:proofErr w:type="spellStart"/>
      <w:r w:rsidR="004957CF">
        <w:rPr>
          <w:rFonts w:ascii="Times New Roman" w:hAnsi="Times New Roman" w:cs="Times New Roman"/>
          <w:sz w:val="24"/>
        </w:rPr>
        <w:t>Scarrus</w:t>
      </w:r>
      <w:proofErr w:type="spellEnd"/>
      <w:r w:rsidR="004957CF">
        <w:rPr>
          <w:rFonts w:ascii="Times New Roman" w:hAnsi="Times New Roman" w:cs="Times New Roman"/>
          <w:sz w:val="24"/>
        </w:rPr>
        <w:t xml:space="preserve"> cursing how</w:t>
      </w:r>
    </w:p>
    <w:p w14:paraId="7AC4FC2B" w14:textId="501A71FA" w:rsidR="004957CF" w:rsidRDefault="004957CF" w:rsidP="002D58FB">
      <w:pPr>
        <w:spacing w:line="240" w:lineRule="auto"/>
        <w:ind w:left="720"/>
        <w:jc w:val="both"/>
        <w:rPr>
          <w:rFonts w:ascii="Times New Roman" w:hAnsi="Times New Roman" w:cs="Times New Roman"/>
          <w:sz w:val="24"/>
        </w:rPr>
      </w:pPr>
      <w:r>
        <w:rPr>
          <w:rFonts w:ascii="Times New Roman" w:hAnsi="Times New Roman" w:cs="Times New Roman"/>
          <w:sz w:val="24"/>
        </w:rPr>
        <w:t xml:space="preserve">Yon </w:t>
      </w:r>
      <w:proofErr w:type="spellStart"/>
      <w:r>
        <w:rPr>
          <w:rFonts w:ascii="Times New Roman" w:hAnsi="Times New Roman" w:cs="Times New Roman"/>
          <w:sz w:val="24"/>
        </w:rPr>
        <w:t>ribanded</w:t>
      </w:r>
      <w:proofErr w:type="spellEnd"/>
      <w:r>
        <w:rPr>
          <w:rFonts w:ascii="Times New Roman" w:hAnsi="Times New Roman" w:cs="Times New Roman"/>
          <w:sz w:val="24"/>
        </w:rPr>
        <w:t xml:space="preserve"> nag of Egypt-</w:t>
      </w:r>
    </w:p>
    <w:p w14:paraId="21935F03" w14:textId="4BD5C103" w:rsidR="004957CF" w:rsidRDefault="004957CF" w:rsidP="002D58FB">
      <w:pPr>
        <w:spacing w:line="240" w:lineRule="auto"/>
        <w:ind w:left="720"/>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i’th’midst</w:t>
      </w:r>
      <w:proofErr w:type="spellEnd"/>
      <w:r>
        <w:rPr>
          <w:rFonts w:ascii="Times New Roman" w:hAnsi="Times New Roman" w:cs="Times New Roman"/>
          <w:sz w:val="24"/>
        </w:rPr>
        <w:t xml:space="preserve"> </w:t>
      </w:r>
      <w:proofErr w:type="spellStart"/>
      <w:r>
        <w:rPr>
          <w:rFonts w:ascii="Times New Roman" w:hAnsi="Times New Roman" w:cs="Times New Roman"/>
          <w:sz w:val="24"/>
        </w:rPr>
        <w:t>o’th’fight</w:t>
      </w:r>
      <w:proofErr w:type="spellEnd"/>
      <w:r>
        <w:rPr>
          <w:rFonts w:ascii="Times New Roman" w:hAnsi="Times New Roman" w:cs="Times New Roman"/>
          <w:sz w:val="24"/>
        </w:rPr>
        <w:t>,</w:t>
      </w:r>
    </w:p>
    <w:p w14:paraId="1E1378DD" w14:textId="1370F357" w:rsidR="004957CF" w:rsidRPr="00A44419" w:rsidRDefault="00FE44F6" w:rsidP="002D58FB">
      <w:pPr>
        <w:spacing w:line="240" w:lineRule="auto"/>
        <w:ind w:left="720"/>
        <w:jc w:val="both"/>
        <w:rPr>
          <w:rFonts w:ascii="Times New Roman" w:hAnsi="Times New Roman" w:cs="Times New Roman"/>
          <w:sz w:val="24"/>
        </w:rPr>
      </w:pPr>
      <w:r>
        <w:rPr>
          <w:rFonts w:ascii="Times New Roman" w:hAnsi="Times New Roman" w:cs="Times New Roman"/>
          <w:sz w:val="24"/>
        </w:rPr>
        <w:t>…</w:t>
      </w:r>
      <w:r w:rsidR="004957CF">
        <w:rPr>
          <w:rFonts w:ascii="Times New Roman" w:hAnsi="Times New Roman" w:cs="Times New Roman"/>
          <w:sz w:val="24"/>
        </w:rPr>
        <w:t>Hoists sails and flies.</w:t>
      </w:r>
      <w:r w:rsidR="004957CF">
        <w:rPr>
          <w:rStyle w:val="FootnoteReference"/>
          <w:rFonts w:ascii="Times New Roman" w:hAnsi="Times New Roman" w:cs="Times New Roman"/>
          <w:sz w:val="24"/>
        </w:rPr>
        <w:footnoteReference w:id="134"/>
      </w:r>
    </w:p>
    <w:p w14:paraId="3BF3E5D2" w14:textId="76B8501F" w:rsidR="00054980" w:rsidRDefault="00F70978" w:rsidP="002D58FB">
      <w:pPr>
        <w:spacing w:line="240" w:lineRule="auto"/>
        <w:jc w:val="both"/>
        <w:rPr>
          <w:rFonts w:ascii="Times New Roman" w:hAnsi="Times New Roman" w:cs="Times New Roman"/>
          <w:sz w:val="24"/>
        </w:rPr>
      </w:pPr>
      <w:r>
        <w:rPr>
          <w:rFonts w:ascii="Times New Roman" w:hAnsi="Times New Roman" w:cs="Times New Roman"/>
          <w:sz w:val="24"/>
        </w:rPr>
        <w:t>T</w:t>
      </w:r>
      <w:r w:rsidR="004957CF">
        <w:rPr>
          <w:rFonts w:ascii="Times New Roman" w:hAnsi="Times New Roman" w:cs="Times New Roman"/>
          <w:sz w:val="24"/>
        </w:rPr>
        <w:t>h</w:t>
      </w:r>
      <w:r w:rsidR="00FC6646">
        <w:rPr>
          <w:rFonts w:ascii="Times New Roman" w:hAnsi="Times New Roman" w:cs="Times New Roman"/>
          <w:sz w:val="24"/>
        </w:rPr>
        <w:t>e</w:t>
      </w:r>
      <w:r w:rsidR="004957CF">
        <w:rPr>
          <w:rFonts w:ascii="Times New Roman" w:hAnsi="Times New Roman" w:cs="Times New Roman"/>
          <w:sz w:val="24"/>
        </w:rPr>
        <w:t xml:space="preserve"> shifting judgement </w:t>
      </w:r>
      <w:r>
        <w:rPr>
          <w:rFonts w:ascii="Times New Roman" w:hAnsi="Times New Roman" w:cs="Times New Roman"/>
          <w:sz w:val="24"/>
        </w:rPr>
        <w:t>of</w:t>
      </w:r>
      <w:r w:rsidR="004957CF">
        <w:rPr>
          <w:rFonts w:ascii="Times New Roman" w:hAnsi="Times New Roman" w:cs="Times New Roman"/>
          <w:sz w:val="24"/>
        </w:rPr>
        <w:t xml:space="preserve"> Cleopatra is voiced by </w:t>
      </w:r>
      <w:proofErr w:type="spellStart"/>
      <w:r w:rsidR="004957CF">
        <w:rPr>
          <w:rFonts w:ascii="Times New Roman" w:hAnsi="Times New Roman" w:cs="Times New Roman"/>
          <w:sz w:val="24"/>
        </w:rPr>
        <w:t>Enobarbus</w:t>
      </w:r>
      <w:proofErr w:type="spellEnd"/>
      <w:r w:rsidR="004957CF">
        <w:rPr>
          <w:rFonts w:ascii="Times New Roman" w:hAnsi="Times New Roman" w:cs="Times New Roman"/>
          <w:sz w:val="24"/>
        </w:rPr>
        <w:t>, who</w:t>
      </w:r>
      <w:r w:rsidR="00BD3DFD">
        <w:rPr>
          <w:rFonts w:ascii="Times New Roman" w:hAnsi="Times New Roman" w:cs="Times New Roman"/>
          <w:sz w:val="24"/>
        </w:rPr>
        <w:t xml:space="preserve"> previously had</w:t>
      </w:r>
      <w:r w:rsidR="004957CF">
        <w:rPr>
          <w:rFonts w:ascii="Times New Roman" w:hAnsi="Times New Roman" w:cs="Times New Roman"/>
          <w:sz w:val="24"/>
        </w:rPr>
        <w:t xml:space="preserve"> been one of Cleopatra’s </w:t>
      </w:r>
      <w:r w:rsidR="00BD3DFD">
        <w:rPr>
          <w:rFonts w:ascii="Times New Roman" w:hAnsi="Times New Roman" w:cs="Times New Roman"/>
          <w:sz w:val="24"/>
        </w:rPr>
        <w:t>most vocal admirers</w:t>
      </w:r>
      <w:r w:rsidR="004957CF">
        <w:rPr>
          <w:rFonts w:ascii="Times New Roman" w:hAnsi="Times New Roman" w:cs="Times New Roman"/>
          <w:sz w:val="24"/>
        </w:rPr>
        <w:t xml:space="preserve"> and encouraged Antony not to return to Rome.</w:t>
      </w:r>
      <w:r w:rsidR="004957CF">
        <w:rPr>
          <w:rStyle w:val="FootnoteReference"/>
          <w:rFonts w:ascii="Times New Roman" w:hAnsi="Times New Roman" w:cs="Times New Roman"/>
          <w:sz w:val="24"/>
        </w:rPr>
        <w:footnoteReference w:id="135"/>
      </w:r>
      <w:r w:rsidR="004957CF">
        <w:rPr>
          <w:rFonts w:ascii="Times New Roman" w:hAnsi="Times New Roman" w:cs="Times New Roman"/>
          <w:sz w:val="24"/>
        </w:rPr>
        <w:t xml:space="preserve"> Following Actium, however, </w:t>
      </w:r>
      <w:proofErr w:type="spellStart"/>
      <w:r w:rsidR="004957CF">
        <w:rPr>
          <w:rFonts w:ascii="Times New Roman" w:hAnsi="Times New Roman" w:cs="Times New Roman"/>
          <w:sz w:val="24"/>
        </w:rPr>
        <w:t>Enobarbus</w:t>
      </w:r>
      <w:proofErr w:type="spellEnd"/>
      <w:r w:rsidR="004957CF">
        <w:rPr>
          <w:rFonts w:ascii="Times New Roman" w:hAnsi="Times New Roman" w:cs="Times New Roman"/>
          <w:sz w:val="24"/>
        </w:rPr>
        <w:t xml:space="preserve"> be</w:t>
      </w:r>
      <w:r w:rsidR="00062C78">
        <w:rPr>
          <w:rFonts w:ascii="Times New Roman" w:hAnsi="Times New Roman" w:cs="Times New Roman"/>
          <w:sz w:val="24"/>
        </w:rPr>
        <w:t xml:space="preserve">comes </w:t>
      </w:r>
      <w:r w:rsidR="004957CF">
        <w:rPr>
          <w:rFonts w:ascii="Times New Roman" w:hAnsi="Times New Roman" w:cs="Times New Roman"/>
          <w:sz w:val="24"/>
        </w:rPr>
        <w:t>sceptical, seeing that Antony’s judgement has been compromised by Cleopatra:</w:t>
      </w:r>
    </w:p>
    <w:p w14:paraId="229D3209" w14:textId="744231F9" w:rsidR="004957CF" w:rsidRDefault="004957CF" w:rsidP="002D58FB">
      <w:pPr>
        <w:spacing w:line="240" w:lineRule="auto"/>
        <w:ind w:left="720"/>
        <w:jc w:val="both"/>
        <w:rPr>
          <w:rFonts w:ascii="Times New Roman" w:hAnsi="Times New Roman" w:cs="Times New Roman"/>
          <w:sz w:val="24"/>
        </w:rPr>
      </w:pPr>
      <w:r>
        <w:rPr>
          <w:rFonts w:ascii="Times New Roman" w:hAnsi="Times New Roman" w:cs="Times New Roman"/>
          <w:sz w:val="24"/>
        </w:rPr>
        <w:t>The itch of his affection should not then</w:t>
      </w:r>
    </w:p>
    <w:p w14:paraId="2A840BD4" w14:textId="6F46E29A" w:rsidR="004957CF" w:rsidRDefault="004957CF" w:rsidP="002D58FB">
      <w:pPr>
        <w:spacing w:line="240" w:lineRule="auto"/>
        <w:ind w:left="720"/>
        <w:jc w:val="both"/>
        <w:rPr>
          <w:rFonts w:ascii="Times New Roman" w:hAnsi="Times New Roman" w:cs="Times New Roman"/>
          <w:sz w:val="24"/>
        </w:rPr>
      </w:pPr>
      <w:r>
        <w:rPr>
          <w:rFonts w:ascii="Times New Roman" w:hAnsi="Times New Roman" w:cs="Times New Roman"/>
          <w:sz w:val="24"/>
        </w:rPr>
        <w:t>Have nicked his captainship.</w:t>
      </w:r>
      <w:r>
        <w:rPr>
          <w:rStyle w:val="FootnoteReference"/>
          <w:rFonts w:ascii="Times New Roman" w:hAnsi="Times New Roman" w:cs="Times New Roman"/>
          <w:sz w:val="24"/>
        </w:rPr>
        <w:footnoteReference w:id="136"/>
      </w:r>
    </w:p>
    <w:p w14:paraId="0AC9CF9F" w14:textId="0F84678C" w:rsidR="00C83598" w:rsidRDefault="00BD3DFD" w:rsidP="002D58FB">
      <w:pPr>
        <w:spacing w:line="240" w:lineRule="auto"/>
        <w:jc w:val="both"/>
        <w:rPr>
          <w:rFonts w:ascii="Times New Roman" w:hAnsi="Times New Roman" w:cs="Times New Roman"/>
          <w:sz w:val="24"/>
        </w:rPr>
      </w:pPr>
      <w:r>
        <w:rPr>
          <w:rFonts w:ascii="Times New Roman" w:hAnsi="Times New Roman" w:cs="Times New Roman"/>
          <w:sz w:val="24"/>
        </w:rPr>
        <w:t>However, this reflects the fact that in Shakespeare’s play</w:t>
      </w:r>
      <w:r w:rsidR="009443E4">
        <w:rPr>
          <w:rFonts w:ascii="Times New Roman" w:hAnsi="Times New Roman" w:cs="Times New Roman"/>
          <w:sz w:val="24"/>
        </w:rPr>
        <w:t xml:space="preserve"> judgement is </w:t>
      </w:r>
      <w:r>
        <w:rPr>
          <w:rFonts w:ascii="Times New Roman" w:hAnsi="Times New Roman" w:cs="Times New Roman"/>
          <w:sz w:val="24"/>
        </w:rPr>
        <w:t xml:space="preserve">mostly </w:t>
      </w:r>
      <w:r w:rsidR="009443E4">
        <w:rPr>
          <w:rFonts w:ascii="Times New Roman" w:hAnsi="Times New Roman" w:cs="Times New Roman"/>
          <w:sz w:val="24"/>
        </w:rPr>
        <w:t xml:space="preserve">made of Antony’s political failings rather than Cleopatra’s. Unlike </w:t>
      </w:r>
      <w:r w:rsidR="002103DF">
        <w:rPr>
          <w:rFonts w:ascii="Times New Roman" w:hAnsi="Times New Roman" w:cs="Times New Roman"/>
          <w:sz w:val="24"/>
        </w:rPr>
        <w:t xml:space="preserve">in </w:t>
      </w:r>
      <w:r w:rsidR="009443E4">
        <w:rPr>
          <w:rFonts w:ascii="Times New Roman" w:hAnsi="Times New Roman" w:cs="Times New Roman"/>
          <w:sz w:val="24"/>
        </w:rPr>
        <w:t xml:space="preserve">Sidney or Daniel’s plays, little is made of how Cleopatra’s rule has </w:t>
      </w:r>
      <w:r w:rsidR="00681520">
        <w:rPr>
          <w:rFonts w:ascii="Times New Roman" w:hAnsi="Times New Roman" w:cs="Times New Roman"/>
          <w:sz w:val="24"/>
        </w:rPr>
        <w:t>affected</w:t>
      </w:r>
      <w:r w:rsidR="00B641FB">
        <w:rPr>
          <w:rFonts w:ascii="Times New Roman" w:hAnsi="Times New Roman" w:cs="Times New Roman"/>
          <w:sz w:val="24"/>
        </w:rPr>
        <w:t xml:space="preserve"> the people of Egypt</w:t>
      </w:r>
      <w:r>
        <w:rPr>
          <w:rFonts w:ascii="Times New Roman" w:hAnsi="Times New Roman" w:cs="Times New Roman"/>
          <w:sz w:val="24"/>
        </w:rPr>
        <w:t xml:space="preserve">, with no Egyptian citizens </w:t>
      </w:r>
      <w:r w:rsidR="00F46BAD">
        <w:rPr>
          <w:rFonts w:ascii="Times New Roman" w:hAnsi="Times New Roman" w:cs="Times New Roman"/>
          <w:sz w:val="24"/>
        </w:rPr>
        <w:t xml:space="preserve">attacking </w:t>
      </w:r>
      <w:r>
        <w:rPr>
          <w:rFonts w:ascii="Times New Roman" w:hAnsi="Times New Roman" w:cs="Times New Roman"/>
          <w:sz w:val="24"/>
        </w:rPr>
        <w:t>her failings as a ruler</w:t>
      </w:r>
      <w:r w:rsidR="00FC6646">
        <w:rPr>
          <w:rFonts w:ascii="Times New Roman" w:hAnsi="Times New Roman" w:cs="Times New Roman"/>
          <w:sz w:val="24"/>
        </w:rPr>
        <w:t>. T</w:t>
      </w:r>
      <w:r>
        <w:rPr>
          <w:rFonts w:ascii="Times New Roman" w:hAnsi="Times New Roman" w:cs="Times New Roman"/>
          <w:sz w:val="24"/>
        </w:rPr>
        <w:t>here is not even a discussion about how the loss at Actium will affect Egypt as a kingdom</w:t>
      </w:r>
      <w:r w:rsidR="00681520">
        <w:rPr>
          <w:rFonts w:ascii="Times New Roman" w:hAnsi="Times New Roman" w:cs="Times New Roman"/>
          <w:sz w:val="24"/>
        </w:rPr>
        <w:t xml:space="preserve">. Her </w:t>
      </w:r>
      <w:r w:rsidR="006C372E">
        <w:rPr>
          <w:rFonts w:ascii="Times New Roman" w:hAnsi="Times New Roman" w:cs="Times New Roman"/>
          <w:sz w:val="24"/>
        </w:rPr>
        <w:t>inconstancy and passions</w:t>
      </w:r>
      <w:r w:rsidR="00681520">
        <w:rPr>
          <w:rFonts w:ascii="Times New Roman" w:hAnsi="Times New Roman" w:cs="Times New Roman"/>
          <w:sz w:val="24"/>
        </w:rPr>
        <w:t xml:space="preserve"> </w:t>
      </w:r>
      <w:r w:rsidR="006C372E">
        <w:rPr>
          <w:rFonts w:ascii="Times New Roman" w:hAnsi="Times New Roman" w:cs="Times New Roman"/>
          <w:sz w:val="24"/>
        </w:rPr>
        <w:t>are</w:t>
      </w:r>
      <w:r w:rsidR="00681520">
        <w:rPr>
          <w:rFonts w:ascii="Times New Roman" w:hAnsi="Times New Roman" w:cs="Times New Roman"/>
          <w:sz w:val="24"/>
        </w:rPr>
        <w:t xml:space="preserve"> never portrayed as an abdication of her duties as ruler or as damaging to her subjects, only damaging to Antony.</w:t>
      </w:r>
      <w:r w:rsidR="00DA160D">
        <w:rPr>
          <w:rStyle w:val="FootnoteReference"/>
          <w:rFonts w:ascii="Times New Roman" w:hAnsi="Times New Roman" w:cs="Times New Roman"/>
          <w:sz w:val="24"/>
        </w:rPr>
        <w:footnoteReference w:id="137"/>
      </w:r>
      <w:r w:rsidR="006C372E">
        <w:rPr>
          <w:rFonts w:ascii="Times New Roman" w:hAnsi="Times New Roman" w:cs="Times New Roman"/>
          <w:sz w:val="24"/>
        </w:rPr>
        <w:t xml:space="preserve"> It is this tension that is the central one: is Antony corrupting himself in his love for Cleopatra? As we have seen, Shakespeare presents at least one very radical answer to this, but it does </w:t>
      </w:r>
      <w:r w:rsidR="003A3561">
        <w:rPr>
          <w:rFonts w:ascii="Times New Roman" w:hAnsi="Times New Roman" w:cs="Times New Roman"/>
          <w:sz w:val="24"/>
        </w:rPr>
        <w:t>result in less focus on questions of female rule</w:t>
      </w:r>
      <w:r w:rsidR="006C372E">
        <w:rPr>
          <w:rFonts w:ascii="Times New Roman" w:hAnsi="Times New Roman" w:cs="Times New Roman"/>
          <w:sz w:val="24"/>
        </w:rPr>
        <w:t>.</w:t>
      </w:r>
      <w:r w:rsidR="00681520">
        <w:rPr>
          <w:rFonts w:ascii="Times New Roman" w:hAnsi="Times New Roman" w:cs="Times New Roman"/>
          <w:sz w:val="24"/>
        </w:rPr>
        <w:t xml:space="preserve"> Shakespeare’s play is thus more personal and less broadly political than the other plays featuring Cleopatra, in that it does not reflect upon </w:t>
      </w:r>
      <w:r w:rsidR="00681520">
        <w:rPr>
          <w:rFonts w:ascii="Times New Roman" w:hAnsi="Times New Roman" w:cs="Times New Roman"/>
          <w:sz w:val="24"/>
        </w:rPr>
        <w:lastRenderedPageBreak/>
        <w:t>Cleopatra’s duties as a ruler</w:t>
      </w:r>
      <w:r w:rsidR="00CF1812">
        <w:rPr>
          <w:rFonts w:ascii="Times New Roman" w:hAnsi="Times New Roman" w:cs="Times New Roman"/>
          <w:sz w:val="24"/>
        </w:rPr>
        <w:t>, with its political element being more focused upon male virtue.</w:t>
      </w:r>
      <w:r w:rsidR="00681520">
        <w:rPr>
          <w:rFonts w:ascii="Times New Roman" w:hAnsi="Times New Roman" w:cs="Times New Roman"/>
          <w:sz w:val="24"/>
        </w:rPr>
        <w:t xml:space="preserve"> Female rule in </w:t>
      </w:r>
      <w:r w:rsidR="00681520">
        <w:rPr>
          <w:rFonts w:ascii="Times New Roman" w:hAnsi="Times New Roman" w:cs="Times New Roman"/>
          <w:i/>
          <w:sz w:val="24"/>
        </w:rPr>
        <w:t>Antony and Cleopatra</w:t>
      </w:r>
      <w:r w:rsidR="00681520">
        <w:rPr>
          <w:rFonts w:ascii="Times New Roman" w:hAnsi="Times New Roman" w:cs="Times New Roman"/>
          <w:sz w:val="24"/>
        </w:rPr>
        <w:t xml:space="preserve"> is only relevant, therefore, in the way it allows Cleopatra to escape the constraints of traditional </w:t>
      </w:r>
      <w:r w:rsidR="00C67E7A">
        <w:rPr>
          <w:rFonts w:ascii="Times New Roman" w:hAnsi="Times New Roman" w:cs="Times New Roman"/>
          <w:sz w:val="24"/>
        </w:rPr>
        <w:t>conceptions</w:t>
      </w:r>
      <w:r w:rsidR="00681520">
        <w:rPr>
          <w:rFonts w:ascii="Times New Roman" w:hAnsi="Times New Roman" w:cs="Times New Roman"/>
          <w:sz w:val="24"/>
        </w:rPr>
        <w:t xml:space="preserve"> of female virtue through the dignity of majesty</w:t>
      </w:r>
      <w:r w:rsidR="007F06AB">
        <w:rPr>
          <w:rFonts w:ascii="Times New Roman" w:hAnsi="Times New Roman" w:cs="Times New Roman"/>
          <w:sz w:val="24"/>
        </w:rPr>
        <w:t xml:space="preserve"> </w:t>
      </w:r>
      <w:r w:rsidR="00F46BAD">
        <w:rPr>
          <w:rFonts w:ascii="Times New Roman" w:hAnsi="Times New Roman" w:cs="Times New Roman"/>
          <w:sz w:val="24"/>
        </w:rPr>
        <w:t>which gives her an</w:t>
      </w:r>
      <w:r w:rsidR="007F06AB">
        <w:rPr>
          <w:rFonts w:ascii="Times New Roman" w:hAnsi="Times New Roman" w:cs="Times New Roman"/>
          <w:sz w:val="24"/>
        </w:rPr>
        <w:t xml:space="preserve"> attractive</w:t>
      </w:r>
      <w:r w:rsidR="00F46BAD">
        <w:rPr>
          <w:rFonts w:ascii="Times New Roman" w:hAnsi="Times New Roman" w:cs="Times New Roman"/>
          <w:sz w:val="24"/>
        </w:rPr>
        <w:t>, sexual</w:t>
      </w:r>
      <w:r w:rsidR="007F06AB">
        <w:rPr>
          <w:rFonts w:ascii="Times New Roman" w:hAnsi="Times New Roman" w:cs="Times New Roman"/>
          <w:sz w:val="24"/>
        </w:rPr>
        <w:t xml:space="preserve"> power, as well as i</w:t>
      </w:r>
      <w:r w:rsidR="00F46BAD">
        <w:rPr>
          <w:rFonts w:ascii="Times New Roman" w:hAnsi="Times New Roman" w:cs="Times New Roman"/>
          <w:sz w:val="24"/>
        </w:rPr>
        <w:t>ts embodiment in</w:t>
      </w:r>
      <w:r w:rsidR="007F06AB">
        <w:rPr>
          <w:rFonts w:ascii="Times New Roman" w:hAnsi="Times New Roman" w:cs="Times New Roman"/>
          <w:sz w:val="24"/>
        </w:rPr>
        <w:t xml:space="preserve"> the glory of her death</w:t>
      </w:r>
      <w:r w:rsidR="00681520">
        <w:rPr>
          <w:rFonts w:ascii="Times New Roman" w:hAnsi="Times New Roman" w:cs="Times New Roman"/>
          <w:sz w:val="24"/>
        </w:rPr>
        <w:t xml:space="preserve">. This </w:t>
      </w:r>
      <w:r w:rsidR="007465D7">
        <w:rPr>
          <w:rFonts w:ascii="Times New Roman" w:hAnsi="Times New Roman" w:cs="Times New Roman"/>
          <w:sz w:val="24"/>
        </w:rPr>
        <w:t xml:space="preserve">may </w:t>
      </w:r>
      <w:r w:rsidR="00681520">
        <w:rPr>
          <w:rFonts w:ascii="Times New Roman" w:hAnsi="Times New Roman" w:cs="Times New Roman"/>
          <w:sz w:val="24"/>
        </w:rPr>
        <w:t xml:space="preserve">reflect the fact that the play was written following the failure of Essex’s rebellion in 1601, which made politicised portrayals of Cleopatra in theatre more dangerous, with </w:t>
      </w:r>
      <w:proofErr w:type="spellStart"/>
      <w:r w:rsidR="00681520">
        <w:rPr>
          <w:rFonts w:ascii="Times New Roman" w:hAnsi="Times New Roman" w:cs="Times New Roman"/>
          <w:sz w:val="24"/>
        </w:rPr>
        <w:t>Fulke</w:t>
      </w:r>
      <w:proofErr w:type="spellEnd"/>
      <w:r w:rsidR="00681520">
        <w:rPr>
          <w:rFonts w:ascii="Times New Roman" w:hAnsi="Times New Roman" w:cs="Times New Roman"/>
          <w:sz w:val="24"/>
        </w:rPr>
        <w:t xml:space="preserve"> </w:t>
      </w:r>
      <w:proofErr w:type="spellStart"/>
      <w:r w:rsidR="00681520">
        <w:rPr>
          <w:rFonts w:ascii="Times New Roman" w:hAnsi="Times New Roman" w:cs="Times New Roman"/>
          <w:sz w:val="24"/>
        </w:rPr>
        <w:t>Greville</w:t>
      </w:r>
      <w:proofErr w:type="spellEnd"/>
      <w:r w:rsidR="00681520">
        <w:rPr>
          <w:rFonts w:ascii="Times New Roman" w:hAnsi="Times New Roman" w:cs="Times New Roman"/>
          <w:sz w:val="24"/>
        </w:rPr>
        <w:t xml:space="preserve"> burning his own version of the story out of fear of censorship or worse.</w:t>
      </w:r>
      <w:r w:rsidR="00681520">
        <w:rPr>
          <w:rStyle w:val="FootnoteReference"/>
          <w:rFonts w:ascii="Times New Roman" w:hAnsi="Times New Roman" w:cs="Times New Roman"/>
          <w:sz w:val="24"/>
        </w:rPr>
        <w:footnoteReference w:id="138"/>
      </w:r>
      <w:r w:rsidR="00681520">
        <w:rPr>
          <w:rFonts w:ascii="Times New Roman" w:hAnsi="Times New Roman" w:cs="Times New Roman"/>
          <w:sz w:val="24"/>
        </w:rPr>
        <w:t xml:space="preserve"> Moreover, </w:t>
      </w:r>
      <w:r w:rsidR="006C372E">
        <w:rPr>
          <w:rFonts w:ascii="Times New Roman" w:hAnsi="Times New Roman" w:cs="Times New Roman"/>
          <w:sz w:val="24"/>
        </w:rPr>
        <w:t xml:space="preserve">after </w:t>
      </w:r>
      <w:r w:rsidR="00681520">
        <w:rPr>
          <w:rFonts w:ascii="Times New Roman" w:hAnsi="Times New Roman" w:cs="Times New Roman"/>
          <w:sz w:val="24"/>
        </w:rPr>
        <w:t xml:space="preserve">Elizabeth’s death in 1603, the immediacy of the problems surrounding female rule disappeared, </w:t>
      </w:r>
      <w:r w:rsidR="007F06AB">
        <w:rPr>
          <w:rFonts w:ascii="Times New Roman" w:hAnsi="Times New Roman" w:cs="Times New Roman"/>
          <w:sz w:val="24"/>
        </w:rPr>
        <w:t>which would have</w:t>
      </w:r>
      <w:r w:rsidR="006C372E">
        <w:rPr>
          <w:rFonts w:ascii="Times New Roman" w:hAnsi="Times New Roman" w:cs="Times New Roman"/>
          <w:sz w:val="24"/>
        </w:rPr>
        <w:t xml:space="preserve"> probably</w:t>
      </w:r>
      <w:r w:rsidR="00681520">
        <w:rPr>
          <w:rFonts w:ascii="Times New Roman" w:hAnsi="Times New Roman" w:cs="Times New Roman"/>
          <w:sz w:val="24"/>
        </w:rPr>
        <w:t xml:space="preserve"> prompt</w:t>
      </w:r>
      <w:r w:rsidR="007F06AB">
        <w:rPr>
          <w:rFonts w:ascii="Times New Roman" w:hAnsi="Times New Roman" w:cs="Times New Roman"/>
          <w:sz w:val="24"/>
        </w:rPr>
        <w:t>ed</w:t>
      </w:r>
      <w:r w:rsidR="00681520">
        <w:rPr>
          <w:rFonts w:ascii="Times New Roman" w:hAnsi="Times New Roman" w:cs="Times New Roman"/>
          <w:sz w:val="24"/>
        </w:rPr>
        <w:t xml:space="preserve"> a less obviously politicised portrayal of Cleopatra than the one’s found in Sidney and Daniel’s versions which were written during the heat of </w:t>
      </w:r>
      <w:r w:rsidR="007F06AB">
        <w:rPr>
          <w:rFonts w:ascii="Times New Roman" w:hAnsi="Times New Roman" w:cs="Times New Roman"/>
          <w:sz w:val="24"/>
        </w:rPr>
        <w:t xml:space="preserve">debates about female rule </w:t>
      </w:r>
      <w:r w:rsidR="00062C78">
        <w:rPr>
          <w:rFonts w:ascii="Times New Roman" w:hAnsi="Times New Roman" w:cs="Times New Roman"/>
          <w:sz w:val="24"/>
        </w:rPr>
        <w:t>under</w:t>
      </w:r>
      <w:r w:rsidR="007F06AB">
        <w:rPr>
          <w:rFonts w:ascii="Times New Roman" w:hAnsi="Times New Roman" w:cs="Times New Roman"/>
          <w:sz w:val="24"/>
        </w:rPr>
        <w:t xml:space="preserve"> Elizabeth</w:t>
      </w:r>
      <w:r w:rsidR="00681520">
        <w:rPr>
          <w:rFonts w:ascii="Times New Roman" w:hAnsi="Times New Roman" w:cs="Times New Roman"/>
          <w:sz w:val="24"/>
        </w:rPr>
        <w:t>.</w:t>
      </w:r>
    </w:p>
    <w:p w14:paraId="658517AF" w14:textId="77777777" w:rsidR="00C043AA" w:rsidRDefault="00C043AA" w:rsidP="002D58FB">
      <w:pPr>
        <w:spacing w:line="240" w:lineRule="auto"/>
        <w:jc w:val="both"/>
        <w:rPr>
          <w:rFonts w:ascii="Times New Roman" w:hAnsi="Times New Roman" w:cs="Times New Roman"/>
          <w:sz w:val="24"/>
        </w:rPr>
      </w:pPr>
    </w:p>
    <w:p w14:paraId="7C0CEB5D" w14:textId="0633E27C" w:rsidR="00C043AA" w:rsidRDefault="00C043AA" w:rsidP="002D58FB">
      <w:pPr>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IV</w:t>
      </w:r>
    </w:p>
    <w:p w14:paraId="6A26D5CD" w14:textId="77777777" w:rsidR="00C043AA" w:rsidRDefault="00C043AA" w:rsidP="002D58FB">
      <w:pPr>
        <w:spacing w:line="240" w:lineRule="auto"/>
        <w:jc w:val="both"/>
        <w:rPr>
          <w:rFonts w:ascii="Times New Roman" w:hAnsi="Times New Roman" w:cs="Times New Roman"/>
          <w:sz w:val="24"/>
        </w:rPr>
      </w:pPr>
    </w:p>
    <w:p w14:paraId="04317F57" w14:textId="3DEA8CC2" w:rsidR="00C862F3" w:rsidRDefault="00EF01ED" w:rsidP="002D58FB">
      <w:pPr>
        <w:spacing w:line="240" w:lineRule="auto"/>
        <w:jc w:val="both"/>
        <w:rPr>
          <w:rFonts w:ascii="Times New Roman" w:hAnsi="Times New Roman" w:cs="Times New Roman"/>
          <w:sz w:val="24"/>
        </w:rPr>
      </w:pPr>
      <w:r>
        <w:rPr>
          <w:rFonts w:ascii="Times New Roman" w:hAnsi="Times New Roman" w:cs="Times New Roman"/>
          <w:sz w:val="24"/>
        </w:rPr>
        <w:t>Except for</w:t>
      </w:r>
      <w:r w:rsidR="0009534F">
        <w:rPr>
          <w:rFonts w:ascii="Times New Roman" w:hAnsi="Times New Roman" w:cs="Times New Roman"/>
          <w:sz w:val="24"/>
        </w:rPr>
        <w:t xml:space="preserve"> Shakespeare’s more ambiguous message in </w:t>
      </w:r>
      <w:r w:rsidR="0009534F">
        <w:rPr>
          <w:rFonts w:ascii="Times New Roman" w:hAnsi="Times New Roman" w:cs="Times New Roman"/>
          <w:i/>
          <w:sz w:val="24"/>
        </w:rPr>
        <w:t xml:space="preserve">Antony and </w:t>
      </w:r>
      <w:r w:rsidR="0009534F" w:rsidRPr="000177EF">
        <w:rPr>
          <w:rFonts w:ascii="Times New Roman" w:hAnsi="Times New Roman" w:cs="Times New Roman"/>
          <w:i/>
          <w:sz w:val="24"/>
        </w:rPr>
        <w:t>Cleopatra</w:t>
      </w:r>
      <w:r w:rsidR="0009534F">
        <w:rPr>
          <w:rFonts w:ascii="Times New Roman" w:hAnsi="Times New Roman" w:cs="Times New Roman"/>
          <w:sz w:val="24"/>
        </w:rPr>
        <w:t xml:space="preserve">, </w:t>
      </w:r>
      <w:proofErr w:type="gramStart"/>
      <w:r w:rsidR="0009534F">
        <w:rPr>
          <w:rFonts w:ascii="Times New Roman" w:hAnsi="Times New Roman" w:cs="Times New Roman"/>
          <w:sz w:val="24"/>
        </w:rPr>
        <w:t>all of</w:t>
      </w:r>
      <w:proofErr w:type="gramEnd"/>
      <w:r w:rsidR="0009534F">
        <w:rPr>
          <w:rFonts w:ascii="Times New Roman" w:hAnsi="Times New Roman" w:cs="Times New Roman"/>
          <w:sz w:val="24"/>
        </w:rPr>
        <w:t xml:space="preserve"> these presentations of classical women </w:t>
      </w:r>
      <w:r w:rsidR="00AA70A0">
        <w:rPr>
          <w:rFonts w:ascii="Times New Roman" w:hAnsi="Times New Roman" w:cs="Times New Roman"/>
          <w:sz w:val="24"/>
        </w:rPr>
        <w:t>suggest</w:t>
      </w:r>
      <w:r w:rsidR="0009534F">
        <w:rPr>
          <w:rFonts w:ascii="Times New Roman" w:hAnsi="Times New Roman" w:cs="Times New Roman"/>
          <w:sz w:val="24"/>
        </w:rPr>
        <w:t xml:space="preserve">, to a greater or lesser extent, that </w:t>
      </w:r>
      <w:r w:rsidR="00A02ACB">
        <w:rPr>
          <w:rFonts w:ascii="Times New Roman" w:hAnsi="Times New Roman" w:cs="Times New Roman"/>
          <w:sz w:val="24"/>
        </w:rPr>
        <w:t>it was impossible to conceptualise a positive ideal of virtuous womanhood compatible with political life</w:t>
      </w:r>
      <w:r w:rsidR="0009534F">
        <w:rPr>
          <w:rFonts w:ascii="Times New Roman" w:hAnsi="Times New Roman" w:cs="Times New Roman"/>
          <w:sz w:val="24"/>
        </w:rPr>
        <w:t>. For Sidney’s Cleopatra</w:t>
      </w:r>
      <w:r w:rsidR="00FC6646">
        <w:rPr>
          <w:rFonts w:ascii="Times New Roman" w:hAnsi="Times New Roman" w:cs="Times New Roman"/>
          <w:sz w:val="24"/>
        </w:rPr>
        <w:t>,</w:t>
      </w:r>
      <w:r w:rsidR="0009534F">
        <w:rPr>
          <w:rFonts w:ascii="Times New Roman" w:hAnsi="Times New Roman" w:cs="Times New Roman"/>
          <w:sz w:val="24"/>
        </w:rPr>
        <w:t xml:space="preserve"> Brandon’s Octavia and Marlowe’s Dido, the</w:t>
      </w:r>
      <w:r w:rsidR="00FC6646">
        <w:rPr>
          <w:rFonts w:ascii="Times New Roman" w:hAnsi="Times New Roman" w:cs="Times New Roman"/>
          <w:sz w:val="24"/>
        </w:rPr>
        <w:t>ir</w:t>
      </w:r>
      <w:r w:rsidR="0009534F">
        <w:rPr>
          <w:rFonts w:ascii="Times New Roman" w:hAnsi="Times New Roman" w:cs="Times New Roman"/>
          <w:sz w:val="24"/>
        </w:rPr>
        <w:t xml:space="preserve"> virtuosity and constancy </w:t>
      </w:r>
      <w:r w:rsidR="00E13622">
        <w:rPr>
          <w:rFonts w:ascii="Times New Roman" w:hAnsi="Times New Roman" w:cs="Times New Roman"/>
          <w:sz w:val="24"/>
        </w:rPr>
        <w:t>impede</w:t>
      </w:r>
      <w:r w:rsidR="0009534F">
        <w:rPr>
          <w:rFonts w:ascii="Times New Roman" w:hAnsi="Times New Roman" w:cs="Times New Roman"/>
          <w:sz w:val="24"/>
        </w:rPr>
        <w:t xml:space="preserve"> their political judgement</w:t>
      </w:r>
      <w:r w:rsidR="00FC6646">
        <w:rPr>
          <w:rFonts w:ascii="Times New Roman" w:hAnsi="Times New Roman" w:cs="Times New Roman"/>
          <w:sz w:val="24"/>
        </w:rPr>
        <w:t>.</w:t>
      </w:r>
      <w:r w:rsidR="0009534F">
        <w:rPr>
          <w:rFonts w:ascii="Times New Roman" w:hAnsi="Times New Roman" w:cs="Times New Roman"/>
          <w:sz w:val="24"/>
        </w:rPr>
        <w:t xml:space="preserve"> In contrast, Marlowe’s Aeneas and, to a lesser extent, Sidney</w:t>
      </w:r>
      <w:r w:rsidR="00C862F3">
        <w:rPr>
          <w:rFonts w:ascii="Times New Roman" w:hAnsi="Times New Roman" w:cs="Times New Roman"/>
          <w:sz w:val="24"/>
        </w:rPr>
        <w:t xml:space="preserve"> and Shakespeare’s</w:t>
      </w:r>
      <w:r w:rsidR="0009534F">
        <w:rPr>
          <w:rFonts w:ascii="Times New Roman" w:hAnsi="Times New Roman" w:cs="Times New Roman"/>
          <w:sz w:val="24"/>
        </w:rPr>
        <w:t xml:space="preserve"> </w:t>
      </w:r>
      <w:r w:rsidR="00C862F3">
        <w:rPr>
          <w:rFonts w:ascii="Times New Roman" w:hAnsi="Times New Roman" w:cs="Times New Roman"/>
          <w:sz w:val="24"/>
        </w:rPr>
        <w:t>Antony’s</w:t>
      </w:r>
      <w:r w:rsidR="0009534F">
        <w:rPr>
          <w:rFonts w:ascii="Times New Roman" w:hAnsi="Times New Roman" w:cs="Times New Roman"/>
          <w:sz w:val="24"/>
        </w:rPr>
        <w:t xml:space="preserve"> </w:t>
      </w:r>
      <w:r w:rsidR="00C862F3">
        <w:rPr>
          <w:rFonts w:ascii="Times New Roman" w:hAnsi="Times New Roman" w:cs="Times New Roman"/>
          <w:sz w:val="24"/>
        </w:rPr>
        <w:t xml:space="preserve">find their virtue within the public sphere of political and military action. This </w:t>
      </w:r>
      <w:r w:rsidR="003B634B">
        <w:rPr>
          <w:rFonts w:ascii="Times New Roman" w:hAnsi="Times New Roman" w:cs="Times New Roman"/>
          <w:sz w:val="24"/>
        </w:rPr>
        <w:t>calls</w:t>
      </w:r>
      <w:r w:rsidR="00C862F3">
        <w:rPr>
          <w:rFonts w:ascii="Times New Roman" w:hAnsi="Times New Roman" w:cs="Times New Roman"/>
          <w:sz w:val="24"/>
        </w:rPr>
        <w:t xml:space="preserve"> female rule</w:t>
      </w:r>
      <w:r w:rsidR="003B634B">
        <w:rPr>
          <w:rFonts w:ascii="Times New Roman" w:hAnsi="Times New Roman" w:cs="Times New Roman"/>
          <w:sz w:val="24"/>
        </w:rPr>
        <w:t xml:space="preserve"> into question</w:t>
      </w:r>
      <w:r w:rsidR="00C862F3">
        <w:rPr>
          <w:rFonts w:ascii="Times New Roman" w:hAnsi="Times New Roman" w:cs="Times New Roman"/>
          <w:sz w:val="24"/>
        </w:rPr>
        <w:t xml:space="preserve"> </w:t>
      </w:r>
      <w:r w:rsidR="00811BD4">
        <w:rPr>
          <w:rFonts w:ascii="Times New Roman" w:hAnsi="Times New Roman" w:cs="Times New Roman"/>
          <w:sz w:val="24"/>
        </w:rPr>
        <w:t>since politics</w:t>
      </w:r>
      <w:r w:rsidR="00C862F3">
        <w:rPr>
          <w:rFonts w:ascii="Times New Roman" w:hAnsi="Times New Roman" w:cs="Times New Roman"/>
          <w:sz w:val="24"/>
        </w:rPr>
        <w:t xml:space="preserve"> </w:t>
      </w:r>
      <w:r w:rsidR="00CA507D">
        <w:rPr>
          <w:rFonts w:ascii="Times New Roman" w:hAnsi="Times New Roman" w:cs="Times New Roman"/>
          <w:sz w:val="24"/>
        </w:rPr>
        <w:t>is made to seem</w:t>
      </w:r>
      <w:r w:rsidR="00C862F3">
        <w:rPr>
          <w:rFonts w:ascii="Times New Roman" w:hAnsi="Times New Roman" w:cs="Times New Roman"/>
          <w:sz w:val="24"/>
        </w:rPr>
        <w:t xml:space="preserve"> the natural, virtuous province of men rather than women. Even when women obtain some virtue and dignity in the public sphere, as Daniel and Shakespeare’s Cleopatras do, this virtue is embodied in the form of personal dignity rather than good rule: whilst Shakespeare’s Cleopatra</w:t>
      </w:r>
      <w:r w:rsidR="00811BD4">
        <w:rPr>
          <w:rFonts w:ascii="Times New Roman" w:hAnsi="Times New Roman" w:cs="Times New Roman"/>
          <w:sz w:val="24"/>
        </w:rPr>
        <w:t>’s</w:t>
      </w:r>
      <w:r w:rsidR="00C862F3">
        <w:rPr>
          <w:rFonts w:ascii="Times New Roman" w:hAnsi="Times New Roman" w:cs="Times New Roman"/>
          <w:sz w:val="24"/>
        </w:rPr>
        <w:t xml:space="preserve"> ability as a ruler is passed over, Daniel’s Cleopatra is lambasted for </w:t>
      </w:r>
      <w:r w:rsidR="00F12B5E">
        <w:rPr>
          <w:rFonts w:ascii="Times New Roman" w:hAnsi="Times New Roman" w:cs="Times New Roman"/>
          <w:sz w:val="24"/>
        </w:rPr>
        <w:t>destroying</w:t>
      </w:r>
      <w:r w:rsidR="00C862F3">
        <w:rPr>
          <w:rFonts w:ascii="Times New Roman" w:hAnsi="Times New Roman" w:cs="Times New Roman"/>
          <w:sz w:val="24"/>
        </w:rPr>
        <w:t xml:space="preserve"> Egypt. Even supposedly ideally virtuous women with no public role or little influence in political affairs like Cornelia and Portia are shown to be naturally weak and over-emotional. Crucially, this is seen as virtuous and right for a woman, </w:t>
      </w:r>
      <w:r w:rsidR="00F12B5E">
        <w:rPr>
          <w:rFonts w:ascii="Times New Roman" w:hAnsi="Times New Roman" w:cs="Times New Roman"/>
          <w:sz w:val="24"/>
        </w:rPr>
        <w:t>if</w:t>
      </w:r>
      <w:r w:rsidR="00C862F3">
        <w:rPr>
          <w:rFonts w:ascii="Times New Roman" w:hAnsi="Times New Roman" w:cs="Times New Roman"/>
          <w:sz w:val="24"/>
        </w:rPr>
        <w:t xml:space="preserve"> it has no impact on politics. </w:t>
      </w:r>
    </w:p>
    <w:p w14:paraId="088333E6" w14:textId="629714F4" w:rsidR="001B7F69" w:rsidRDefault="006033DD" w:rsidP="002D58FB">
      <w:pPr>
        <w:spacing w:line="240" w:lineRule="auto"/>
        <w:jc w:val="both"/>
        <w:rPr>
          <w:rFonts w:ascii="Times New Roman" w:hAnsi="Times New Roman" w:cs="Times New Roman"/>
          <w:sz w:val="24"/>
        </w:rPr>
      </w:pPr>
      <w:r>
        <w:rPr>
          <w:rFonts w:ascii="Times New Roman" w:hAnsi="Times New Roman" w:cs="Times New Roman"/>
          <w:sz w:val="24"/>
        </w:rPr>
        <w:t xml:space="preserve">The historical question which we must then ask </w:t>
      </w:r>
      <w:r w:rsidR="009D4C7D">
        <w:rPr>
          <w:rFonts w:ascii="Times New Roman" w:hAnsi="Times New Roman" w:cs="Times New Roman"/>
          <w:sz w:val="24"/>
        </w:rPr>
        <w:t>is</w:t>
      </w:r>
      <w:r>
        <w:rPr>
          <w:rFonts w:ascii="Times New Roman" w:hAnsi="Times New Roman" w:cs="Times New Roman"/>
          <w:sz w:val="24"/>
        </w:rPr>
        <w:t xml:space="preserve"> why were women portrayed in this way and how “political” can we judge these portrayals to be? This is</w:t>
      </w:r>
      <w:r w:rsidR="00CE0282">
        <w:rPr>
          <w:rFonts w:ascii="Times New Roman" w:hAnsi="Times New Roman" w:cs="Times New Roman"/>
          <w:sz w:val="24"/>
        </w:rPr>
        <w:t>,</w:t>
      </w:r>
      <w:r>
        <w:rPr>
          <w:rFonts w:ascii="Times New Roman" w:hAnsi="Times New Roman" w:cs="Times New Roman"/>
          <w:sz w:val="24"/>
        </w:rPr>
        <w:t xml:space="preserve"> to </w:t>
      </w:r>
      <w:r w:rsidR="00AA3FB4">
        <w:rPr>
          <w:rFonts w:ascii="Times New Roman" w:hAnsi="Times New Roman" w:cs="Times New Roman"/>
          <w:sz w:val="24"/>
        </w:rPr>
        <w:t>some</w:t>
      </w:r>
      <w:r>
        <w:rPr>
          <w:rFonts w:ascii="Times New Roman" w:hAnsi="Times New Roman" w:cs="Times New Roman"/>
          <w:sz w:val="24"/>
        </w:rPr>
        <w:t xml:space="preserve"> degree</w:t>
      </w:r>
      <w:r w:rsidR="00F12B5E">
        <w:rPr>
          <w:rFonts w:ascii="Times New Roman" w:hAnsi="Times New Roman" w:cs="Times New Roman"/>
          <w:sz w:val="24"/>
        </w:rPr>
        <w:t>,</w:t>
      </w:r>
      <w:r>
        <w:rPr>
          <w:rFonts w:ascii="Times New Roman" w:hAnsi="Times New Roman" w:cs="Times New Roman"/>
          <w:sz w:val="24"/>
        </w:rPr>
        <w:t xml:space="preserve"> </w:t>
      </w:r>
      <w:r w:rsidR="00CE0282">
        <w:rPr>
          <w:rFonts w:ascii="Times New Roman" w:hAnsi="Times New Roman" w:cs="Times New Roman"/>
          <w:sz w:val="24"/>
        </w:rPr>
        <w:t xml:space="preserve">an </w:t>
      </w:r>
      <w:r>
        <w:rPr>
          <w:rFonts w:ascii="Times New Roman" w:hAnsi="Times New Roman" w:cs="Times New Roman"/>
          <w:sz w:val="24"/>
        </w:rPr>
        <w:t>unanswerable</w:t>
      </w:r>
      <w:r w:rsidR="00CE0282">
        <w:rPr>
          <w:rFonts w:ascii="Times New Roman" w:hAnsi="Times New Roman" w:cs="Times New Roman"/>
          <w:sz w:val="24"/>
        </w:rPr>
        <w:t xml:space="preserve"> question</w:t>
      </w:r>
      <w:r>
        <w:rPr>
          <w:rFonts w:ascii="Times New Roman" w:hAnsi="Times New Roman" w:cs="Times New Roman"/>
          <w:sz w:val="24"/>
        </w:rPr>
        <w:t xml:space="preserve">. </w:t>
      </w:r>
      <w:r w:rsidR="00FC7208">
        <w:rPr>
          <w:rFonts w:ascii="Times New Roman" w:hAnsi="Times New Roman" w:cs="Times New Roman"/>
          <w:sz w:val="24"/>
        </w:rPr>
        <w:t>Ambiguity surrounding</w:t>
      </w:r>
      <w:r>
        <w:rPr>
          <w:rFonts w:ascii="Times New Roman" w:hAnsi="Times New Roman" w:cs="Times New Roman"/>
          <w:sz w:val="24"/>
        </w:rPr>
        <w:t xml:space="preserve"> the </w:t>
      </w:r>
      <w:r w:rsidR="00FC7208">
        <w:rPr>
          <w:rFonts w:ascii="Times New Roman" w:hAnsi="Times New Roman" w:cs="Times New Roman"/>
          <w:sz w:val="24"/>
        </w:rPr>
        <w:t>lives</w:t>
      </w:r>
      <w:r>
        <w:rPr>
          <w:rFonts w:ascii="Times New Roman" w:hAnsi="Times New Roman" w:cs="Times New Roman"/>
          <w:sz w:val="24"/>
        </w:rPr>
        <w:t xml:space="preserve"> of writers like Shakespeare, Marlowe and Brandon</w:t>
      </w:r>
      <w:r w:rsidR="00DB5AF8">
        <w:rPr>
          <w:rFonts w:ascii="Times New Roman" w:hAnsi="Times New Roman" w:cs="Times New Roman"/>
          <w:sz w:val="24"/>
        </w:rPr>
        <w:t xml:space="preserve"> makes it difficult to </w:t>
      </w:r>
      <w:r w:rsidR="0097566E">
        <w:rPr>
          <w:rFonts w:ascii="Times New Roman" w:hAnsi="Times New Roman" w:cs="Times New Roman"/>
          <w:sz w:val="24"/>
        </w:rPr>
        <w:t>deduce their possible</w:t>
      </w:r>
      <w:r w:rsidR="00DB5AF8">
        <w:rPr>
          <w:rFonts w:ascii="Times New Roman" w:hAnsi="Times New Roman" w:cs="Times New Roman"/>
          <w:sz w:val="24"/>
        </w:rPr>
        <w:t xml:space="preserve"> political motives.</w:t>
      </w:r>
      <w:r>
        <w:rPr>
          <w:rFonts w:ascii="Times New Roman" w:hAnsi="Times New Roman" w:cs="Times New Roman"/>
          <w:sz w:val="24"/>
        </w:rPr>
        <w:t xml:space="preserve"> Moreover, in a synoptic study such as this one, which </w:t>
      </w:r>
      <w:r w:rsidR="009D4C7D">
        <w:rPr>
          <w:rFonts w:ascii="Times New Roman" w:hAnsi="Times New Roman" w:cs="Times New Roman"/>
          <w:sz w:val="24"/>
        </w:rPr>
        <w:t>considers</w:t>
      </w:r>
      <w:r>
        <w:rPr>
          <w:rFonts w:ascii="Times New Roman" w:hAnsi="Times New Roman" w:cs="Times New Roman"/>
          <w:sz w:val="24"/>
        </w:rPr>
        <w:t xml:space="preserve"> authors from varying backgrounds working in </w:t>
      </w:r>
      <w:r w:rsidR="000F2139">
        <w:rPr>
          <w:rFonts w:ascii="Times New Roman" w:hAnsi="Times New Roman" w:cs="Times New Roman"/>
          <w:sz w:val="24"/>
        </w:rPr>
        <w:t xml:space="preserve">differing forms of theatrical writing, any attempt to draw clear-cut generalisations must be approached with care. </w:t>
      </w:r>
      <w:r w:rsidR="00C862F3" w:rsidRPr="00C862F3">
        <w:rPr>
          <w:rFonts w:ascii="Times New Roman" w:hAnsi="Times New Roman" w:cs="Times New Roman"/>
          <w:sz w:val="24"/>
        </w:rPr>
        <w:t xml:space="preserve">To some degree, </w:t>
      </w:r>
      <w:r w:rsidR="000F2139">
        <w:rPr>
          <w:rFonts w:ascii="Times New Roman" w:hAnsi="Times New Roman" w:cs="Times New Roman"/>
          <w:sz w:val="24"/>
        </w:rPr>
        <w:t xml:space="preserve">portrayals of </w:t>
      </w:r>
      <w:r w:rsidR="00C862F3" w:rsidRPr="00C862F3">
        <w:rPr>
          <w:rFonts w:ascii="Times New Roman" w:hAnsi="Times New Roman" w:cs="Times New Roman"/>
          <w:sz w:val="24"/>
        </w:rPr>
        <w:t xml:space="preserve">private figures such as Cornelia, Octavia and Portia were simply products of gendered expectations of women </w:t>
      </w:r>
      <w:r w:rsidR="000F2139">
        <w:rPr>
          <w:rFonts w:ascii="Times New Roman" w:hAnsi="Times New Roman" w:cs="Times New Roman"/>
          <w:sz w:val="24"/>
        </w:rPr>
        <w:t>that</w:t>
      </w:r>
      <w:r w:rsidR="00C862F3" w:rsidRPr="00C862F3">
        <w:rPr>
          <w:rFonts w:ascii="Times New Roman" w:hAnsi="Times New Roman" w:cs="Times New Roman"/>
          <w:sz w:val="24"/>
        </w:rPr>
        <w:t xml:space="preserve"> had no explicit political purpose</w:t>
      </w:r>
      <w:r w:rsidR="0017544A">
        <w:rPr>
          <w:rFonts w:ascii="Times New Roman" w:hAnsi="Times New Roman" w:cs="Times New Roman"/>
          <w:sz w:val="24"/>
        </w:rPr>
        <w:t>, f</w:t>
      </w:r>
      <w:r w:rsidR="00C862F3" w:rsidRPr="00C862F3">
        <w:rPr>
          <w:rFonts w:ascii="Times New Roman" w:hAnsi="Times New Roman" w:cs="Times New Roman"/>
          <w:sz w:val="24"/>
        </w:rPr>
        <w:t>it</w:t>
      </w:r>
      <w:r w:rsidR="0017544A">
        <w:rPr>
          <w:rFonts w:ascii="Times New Roman" w:hAnsi="Times New Roman" w:cs="Times New Roman"/>
          <w:sz w:val="24"/>
        </w:rPr>
        <w:t>ting</w:t>
      </w:r>
      <w:r w:rsidR="00C862F3" w:rsidRPr="00C862F3">
        <w:rPr>
          <w:rFonts w:ascii="Times New Roman" w:hAnsi="Times New Roman" w:cs="Times New Roman"/>
          <w:sz w:val="24"/>
        </w:rPr>
        <w:t xml:space="preserve"> into an ongoing narrative about the relative merits of men and women.</w:t>
      </w:r>
      <w:r w:rsidR="00676010">
        <w:rPr>
          <w:rStyle w:val="FootnoteReference"/>
          <w:rFonts w:ascii="Times New Roman" w:hAnsi="Times New Roman" w:cs="Times New Roman"/>
          <w:sz w:val="24"/>
        </w:rPr>
        <w:footnoteReference w:id="139"/>
      </w:r>
      <w:r w:rsidR="00C862F3" w:rsidRPr="00C862F3">
        <w:rPr>
          <w:rFonts w:ascii="Times New Roman" w:hAnsi="Times New Roman" w:cs="Times New Roman"/>
          <w:sz w:val="24"/>
        </w:rPr>
        <w:t xml:space="preserve"> </w:t>
      </w:r>
      <w:r w:rsidR="00CC5BB0">
        <w:rPr>
          <w:rFonts w:ascii="Times New Roman" w:hAnsi="Times New Roman" w:cs="Times New Roman"/>
          <w:sz w:val="24"/>
        </w:rPr>
        <w:t>In this way,</w:t>
      </w:r>
      <w:r w:rsidR="000F2139">
        <w:rPr>
          <w:rFonts w:ascii="Times New Roman" w:hAnsi="Times New Roman" w:cs="Times New Roman"/>
          <w:sz w:val="24"/>
        </w:rPr>
        <w:t xml:space="preserve"> these plays are </w:t>
      </w:r>
      <w:r w:rsidR="009D4C7D">
        <w:rPr>
          <w:rFonts w:ascii="Times New Roman" w:hAnsi="Times New Roman" w:cs="Times New Roman"/>
          <w:sz w:val="24"/>
        </w:rPr>
        <w:t xml:space="preserve">perhaps more </w:t>
      </w:r>
      <w:r w:rsidR="000F2139">
        <w:rPr>
          <w:rFonts w:ascii="Times New Roman" w:hAnsi="Times New Roman" w:cs="Times New Roman"/>
          <w:sz w:val="24"/>
        </w:rPr>
        <w:t>concerned with wider moral and even philosophical themes than straightforward</w:t>
      </w:r>
      <w:r w:rsidR="00BB1BFA">
        <w:rPr>
          <w:rFonts w:ascii="Times New Roman" w:hAnsi="Times New Roman" w:cs="Times New Roman"/>
          <w:sz w:val="24"/>
        </w:rPr>
        <w:t>ly</w:t>
      </w:r>
      <w:r w:rsidR="000F2139">
        <w:rPr>
          <w:rFonts w:ascii="Times New Roman" w:hAnsi="Times New Roman" w:cs="Times New Roman"/>
          <w:sz w:val="24"/>
        </w:rPr>
        <w:t xml:space="preserve"> </w:t>
      </w:r>
      <w:r w:rsidR="00BB1BFA">
        <w:rPr>
          <w:rFonts w:ascii="Times New Roman" w:hAnsi="Times New Roman" w:cs="Times New Roman"/>
          <w:sz w:val="24"/>
        </w:rPr>
        <w:t>“</w:t>
      </w:r>
      <w:r w:rsidR="000F2139">
        <w:rPr>
          <w:rFonts w:ascii="Times New Roman" w:hAnsi="Times New Roman" w:cs="Times New Roman"/>
          <w:sz w:val="24"/>
        </w:rPr>
        <w:t>political</w:t>
      </w:r>
      <w:r w:rsidR="00BB1BFA">
        <w:rPr>
          <w:rFonts w:ascii="Times New Roman" w:hAnsi="Times New Roman" w:cs="Times New Roman"/>
          <w:sz w:val="24"/>
        </w:rPr>
        <w:t>”</w:t>
      </w:r>
      <w:r w:rsidR="000F2139">
        <w:rPr>
          <w:rFonts w:ascii="Times New Roman" w:hAnsi="Times New Roman" w:cs="Times New Roman"/>
          <w:sz w:val="24"/>
        </w:rPr>
        <w:t xml:space="preserve"> con</w:t>
      </w:r>
      <w:r w:rsidR="00BB1BFA">
        <w:rPr>
          <w:rFonts w:ascii="Times New Roman" w:hAnsi="Times New Roman" w:cs="Times New Roman"/>
          <w:sz w:val="24"/>
        </w:rPr>
        <w:t>cerns</w:t>
      </w:r>
      <w:r w:rsidR="000F2139">
        <w:rPr>
          <w:rFonts w:ascii="Times New Roman" w:hAnsi="Times New Roman" w:cs="Times New Roman"/>
          <w:sz w:val="24"/>
        </w:rPr>
        <w:t xml:space="preserve">. </w:t>
      </w:r>
    </w:p>
    <w:p w14:paraId="699D5C41" w14:textId="080B392E" w:rsidR="002915EB" w:rsidRPr="002915EB" w:rsidRDefault="004374F3" w:rsidP="002D58FB">
      <w:pPr>
        <w:spacing w:line="240" w:lineRule="auto"/>
        <w:jc w:val="both"/>
        <w:rPr>
          <w:rFonts w:ascii="Times New Roman" w:hAnsi="Times New Roman" w:cs="Times New Roman"/>
          <w:sz w:val="24"/>
        </w:rPr>
      </w:pPr>
      <w:r w:rsidRPr="004374F3">
        <w:rPr>
          <w:rFonts w:ascii="Times New Roman" w:hAnsi="Times New Roman" w:cs="Times New Roman"/>
          <w:sz w:val="24"/>
        </w:rPr>
        <w:t>However,</w:t>
      </w:r>
      <w:r>
        <w:rPr>
          <w:rFonts w:ascii="Times New Roman" w:hAnsi="Times New Roman" w:cs="Times New Roman"/>
          <w:sz w:val="24"/>
        </w:rPr>
        <w:t xml:space="preserve"> even though these plays may not have been intended </w:t>
      </w:r>
      <w:r w:rsidR="001B7F69">
        <w:rPr>
          <w:rFonts w:ascii="Times New Roman" w:hAnsi="Times New Roman" w:cs="Times New Roman"/>
          <w:sz w:val="24"/>
        </w:rPr>
        <w:t>as</w:t>
      </w:r>
      <w:r>
        <w:rPr>
          <w:rFonts w:ascii="Times New Roman" w:hAnsi="Times New Roman" w:cs="Times New Roman"/>
          <w:sz w:val="24"/>
        </w:rPr>
        <w:t xml:space="preserve"> direct political commentary on female rule or </w:t>
      </w:r>
      <w:r w:rsidR="002915EB">
        <w:rPr>
          <w:rFonts w:ascii="Times New Roman" w:hAnsi="Times New Roman" w:cs="Times New Roman"/>
          <w:sz w:val="24"/>
        </w:rPr>
        <w:t>women’s role in politics,</w:t>
      </w:r>
      <w:r w:rsidRPr="004374F3">
        <w:rPr>
          <w:rFonts w:ascii="Times New Roman" w:hAnsi="Times New Roman" w:cs="Times New Roman"/>
          <w:sz w:val="24"/>
        </w:rPr>
        <w:t xml:space="preserve"> the</w:t>
      </w:r>
      <w:r w:rsidR="002915EB">
        <w:rPr>
          <w:rFonts w:ascii="Times New Roman" w:hAnsi="Times New Roman" w:cs="Times New Roman"/>
          <w:sz w:val="24"/>
        </w:rPr>
        <w:t>y</w:t>
      </w:r>
      <w:r w:rsidRPr="004374F3">
        <w:rPr>
          <w:rFonts w:ascii="Times New Roman" w:hAnsi="Times New Roman" w:cs="Times New Roman"/>
          <w:sz w:val="24"/>
        </w:rPr>
        <w:t xml:space="preserve"> all </w:t>
      </w:r>
      <w:r w:rsidR="00F12B5E">
        <w:rPr>
          <w:rFonts w:ascii="Times New Roman" w:hAnsi="Times New Roman" w:cs="Times New Roman"/>
          <w:sz w:val="24"/>
        </w:rPr>
        <w:t>contributed</w:t>
      </w:r>
      <w:r w:rsidRPr="004374F3">
        <w:rPr>
          <w:rFonts w:ascii="Times New Roman" w:hAnsi="Times New Roman" w:cs="Times New Roman"/>
          <w:sz w:val="24"/>
        </w:rPr>
        <w:t xml:space="preserve"> to a political culture in which the idealised wom</w:t>
      </w:r>
      <w:r w:rsidR="009D4C7D">
        <w:rPr>
          <w:rFonts w:ascii="Times New Roman" w:hAnsi="Times New Roman" w:cs="Times New Roman"/>
          <w:sz w:val="24"/>
        </w:rPr>
        <w:t>a</w:t>
      </w:r>
      <w:r w:rsidRPr="004374F3">
        <w:rPr>
          <w:rFonts w:ascii="Times New Roman" w:hAnsi="Times New Roman" w:cs="Times New Roman"/>
          <w:sz w:val="24"/>
        </w:rPr>
        <w:t xml:space="preserve">n of the sermons and guidebooks </w:t>
      </w:r>
      <w:r w:rsidR="002915EB">
        <w:rPr>
          <w:rFonts w:ascii="Times New Roman" w:hAnsi="Times New Roman" w:cs="Times New Roman"/>
          <w:sz w:val="24"/>
        </w:rPr>
        <w:t>w</w:t>
      </w:r>
      <w:r w:rsidR="009D4C7D">
        <w:rPr>
          <w:rFonts w:ascii="Times New Roman" w:hAnsi="Times New Roman" w:cs="Times New Roman"/>
          <w:sz w:val="24"/>
        </w:rPr>
        <w:t>as</w:t>
      </w:r>
      <w:r w:rsidRPr="004374F3">
        <w:rPr>
          <w:rFonts w:ascii="Times New Roman" w:hAnsi="Times New Roman" w:cs="Times New Roman"/>
          <w:sz w:val="24"/>
        </w:rPr>
        <w:t xml:space="preserve"> seen to be practically realisable and </w:t>
      </w:r>
      <w:r w:rsidRPr="004374F3">
        <w:rPr>
          <w:rFonts w:ascii="Times New Roman" w:hAnsi="Times New Roman" w:cs="Times New Roman"/>
          <w:sz w:val="24"/>
        </w:rPr>
        <w:lastRenderedPageBreak/>
        <w:t>desir</w:t>
      </w:r>
      <w:r w:rsidR="002915EB">
        <w:rPr>
          <w:rFonts w:ascii="Times New Roman" w:hAnsi="Times New Roman" w:cs="Times New Roman"/>
          <w:sz w:val="24"/>
        </w:rPr>
        <w:t>able</w:t>
      </w:r>
      <w:r w:rsidR="000209E2">
        <w:rPr>
          <w:rFonts w:ascii="Times New Roman" w:hAnsi="Times New Roman" w:cs="Times New Roman"/>
          <w:sz w:val="24"/>
        </w:rPr>
        <w:t>, yet politically problematic.</w:t>
      </w:r>
      <w:r w:rsidR="001B7F69">
        <w:rPr>
          <w:rFonts w:ascii="Times New Roman" w:hAnsi="Times New Roman" w:cs="Times New Roman"/>
          <w:sz w:val="24"/>
        </w:rPr>
        <w:t xml:space="preserve"> </w:t>
      </w:r>
      <w:r w:rsidR="002915EB" w:rsidRPr="002915EB">
        <w:rPr>
          <w:rFonts w:ascii="Times New Roman" w:hAnsi="Times New Roman" w:cs="Times New Roman"/>
          <w:sz w:val="24"/>
        </w:rPr>
        <w:t>The political implications of this are</w:t>
      </w:r>
      <w:r w:rsidR="002915EB">
        <w:rPr>
          <w:rFonts w:ascii="Times New Roman" w:hAnsi="Times New Roman" w:cs="Times New Roman"/>
          <w:sz w:val="24"/>
        </w:rPr>
        <w:t xml:space="preserve"> naturally</w:t>
      </w:r>
      <w:r w:rsidR="002915EB" w:rsidRPr="002915EB">
        <w:rPr>
          <w:rFonts w:ascii="Times New Roman" w:hAnsi="Times New Roman" w:cs="Times New Roman"/>
          <w:sz w:val="24"/>
        </w:rPr>
        <w:t xml:space="preserve"> made much clearer </w:t>
      </w:r>
      <w:r w:rsidR="00111469">
        <w:rPr>
          <w:rFonts w:ascii="Times New Roman" w:hAnsi="Times New Roman" w:cs="Times New Roman"/>
          <w:sz w:val="24"/>
        </w:rPr>
        <w:t>in</w:t>
      </w:r>
      <w:r w:rsidR="002915EB" w:rsidRPr="002915EB">
        <w:rPr>
          <w:rFonts w:ascii="Times New Roman" w:hAnsi="Times New Roman" w:cs="Times New Roman"/>
          <w:sz w:val="24"/>
        </w:rPr>
        <w:t xml:space="preserve"> women </w:t>
      </w:r>
      <w:r w:rsidR="00D33D03">
        <w:rPr>
          <w:rFonts w:ascii="Times New Roman" w:hAnsi="Times New Roman" w:cs="Times New Roman"/>
          <w:sz w:val="24"/>
        </w:rPr>
        <w:t>who were</w:t>
      </w:r>
      <w:r w:rsidR="002915EB" w:rsidRPr="002915EB">
        <w:rPr>
          <w:rFonts w:ascii="Times New Roman" w:hAnsi="Times New Roman" w:cs="Times New Roman"/>
          <w:sz w:val="24"/>
        </w:rPr>
        <w:t xml:space="preserve"> public figures. The incompatibility between aspirations to moral virtue and p</w:t>
      </w:r>
      <w:r w:rsidR="00D33D03">
        <w:rPr>
          <w:rFonts w:ascii="Times New Roman" w:hAnsi="Times New Roman" w:cs="Times New Roman"/>
          <w:sz w:val="24"/>
        </w:rPr>
        <w:t>olitical</w:t>
      </w:r>
      <w:r w:rsidR="002915EB" w:rsidRPr="002915EB">
        <w:rPr>
          <w:rFonts w:ascii="Times New Roman" w:hAnsi="Times New Roman" w:cs="Times New Roman"/>
          <w:sz w:val="24"/>
        </w:rPr>
        <w:t xml:space="preserve"> agency</w:t>
      </w:r>
      <w:r w:rsidR="002915EB">
        <w:rPr>
          <w:rFonts w:ascii="Times New Roman" w:hAnsi="Times New Roman" w:cs="Times New Roman"/>
          <w:sz w:val="24"/>
        </w:rPr>
        <w:t xml:space="preserve"> in figures like Cleopatra and Dido</w:t>
      </w:r>
      <w:r w:rsidR="002915EB" w:rsidRPr="002915EB">
        <w:rPr>
          <w:rFonts w:ascii="Times New Roman" w:hAnsi="Times New Roman" w:cs="Times New Roman"/>
          <w:sz w:val="24"/>
        </w:rPr>
        <w:t xml:space="preserve"> seems to undermine their ability to adequately fulfil a public role</w:t>
      </w:r>
      <w:r w:rsidR="002915EB">
        <w:rPr>
          <w:rFonts w:ascii="Times New Roman" w:hAnsi="Times New Roman" w:cs="Times New Roman"/>
          <w:sz w:val="24"/>
        </w:rPr>
        <w:t xml:space="preserve">. This </w:t>
      </w:r>
      <w:r w:rsidR="009F317F">
        <w:rPr>
          <w:rFonts w:ascii="Times New Roman" w:hAnsi="Times New Roman" w:cs="Times New Roman"/>
          <w:sz w:val="24"/>
        </w:rPr>
        <w:t>has critical implications for</w:t>
      </w:r>
      <w:r w:rsidR="002915EB">
        <w:rPr>
          <w:rFonts w:ascii="Times New Roman" w:hAnsi="Times New Roman" w:cs="Times New Roman"/>
          <w:sz w:val="24"/>
        </w:rPr>
        <w:t xml:space="preserve"> female rule and thus Elizabeth, fitting into the divisive political culture of the 1590s in whic</w:t>
      </w:r>
      <w:r w:rsidR="00C34BA7">
        <w:rPr>
          <w:rFonts w:ascii="Times New Roman" w:hAnsi="Times New Roman" w:cs="Times New Roman"/>
          <w:sz w:val="24"/>
        </w:rPr>
        <w:t>h the</w:t>
      </w:r>
      <w:r w:rsidR="00780760">
        <w:rPr>
          <w:rFonts w:ascii="Times New Roman" w:hAnsi="Times New Roman" w:cs="Times New Roman"/>
          <w:sz w:val="24"/>
        </w:rPr>
        <w:t>ories</w:t>
      </w:r>
      <w:r w:rsidR="004C793C">
        <w:rPr>
          <w:rFonts w:ascii="Times New Roman" w:hAnsi="Times New Roman" w:cs="Times New Roman"/>
          <w:sz w:val="24"/>
        </w:rPr>
        <w:t xml:space="preserve"> promoti</w:t>
      </w:r>
      <w:r w:rsidR="00780760">
        <w:rPr>
          <w:rFonts w:ascii="Times New Roman" w:hAnsi="Times New Roman" w:cs="Times New Roman"/>
          <w:sz w:val="24"/>
        </w:rPr>
        <w:t xml:space="preserve">ng </w:t>
      </w:r>
      <w:r w:rsidR="004C793C">
        <w:rPr>
          <w:rFonts w:ascii="Times New Roman" w:hAnsi="Times New Roman" w:cs="Times New Roman"/>
          <w:sz w:val="24"/>
        </w:rPr>
        <w:t>monarchical authority</w:t>
      </w:r>
      <w:r w:rsidR="002915EB">
        <w:rPr>
          <w:rFonts w:ascii="Times New Roman" w:hAnsi="Times New Roman" w:cs="Times New Roman"/>
          <w:sz w:val="24"/>
        </w:rPr>
        <w:t xml:space="preserve"> were challenged over numerous issues and in various ways, from criticising </w:t>
      </w:r>
      <w:r w:rsidR="00F12B5E">
        <w:rPr>
          <w:rFonts w:ascii="Times New Roman" w:hAnsi="Times New Roman" w:cs="Times New Roman"/>
          <w:sz w:val="24"/>
        </w:rPr>
        <w:t>Elizabeth’s</w:t>
      </w:r>
      <w:r w:rsidR="002915EB">
        <w:rPr>
          <w:rFonts w:ascii="Times New Roman" w:hAnsi="Times New Roman" w:cs="Times New Roman"/>
          <w:sz w:val="24"/>
        </w:rPr>
        <w:t xml:space="preserve"> </w:t>
      </w:r>
      <w:r w:rsidR="006753F0">
        <w:rPr>
          <w:rFonts w:ascii="Times New Roman" w:hAnsi="Times New Roman" w:cs="Times New Roman"/>
          <w:sz w:val="24"/>
        </w:rPr>
        <w:t>war policy</w:t>
      </w:r>
      <w:r w:rsidR="0005330A">
        <w:rPr>
          <w:rFonts w:ascii="Times New Roman" w:hAnsi="Times New Roman" w:cs="Times New Roman"/>
          <w:sz w:val="24"/>
        </w:rPr>
        <w:t>,</w:t>
      </w:r>
      <w:r w:rsidR="002915EB">
        <w:rPr>
          <w:rFonts w:ascii="Times New Roman" w:hAnsi="Times New Roman" w:cs="Times New Roman"/>
          <w:sz w:val="24"/>
        </w:rPr>
        <w:t xml:space="preserve"> to factionalism at court</w:t>
      </w:r>
      <w:r w:rsidR="0005330A">
        <w:rPr>
          <w:rFonts w:ascii="Times New Roman" w:hAnsi="Times New Roman" w:cs="Times New Roman"/>
          <w:sz w:val="24"/>
        </w:rPr>
        <w:t>,</w:t>
      </w:r>
      <w:r w:rsidR="000F2139">
        <w:rPr>
          <w:rFonts w:ascii="Times New Roman" w:hAnsi="Times New Roman" w:cs="Times New Roman"/>
          <w:sz w:val="24"/>
        </w:rPr>
        <w:t xml:space="preserve"> to</w:t>
      </w:r>
      <w:r w:rsidR="002915EB">
        <w:rPr>
          <w:rFonts w:ascii="Times New Roman" w:hAnsi="Times New Roman" w:cs="Times New Roman"/>
          <w:sz w:val="24"/>
        </w:rPr>
        <w:t xml:space="preserve"> questioning female rule.</w:t>
      </w:r>
      <w:r w:rsidR="000F2139">
        <w:rPr>
          <w:rFonts w:ascii="Times New Roman" w:hAnsi="Times New Roman" w:cs="Times New Roman"/>
          <w:sz w:val="24"/>
        </w:rPr>
        <w:t xml:space="preserve"> Regardless of authorial political intent in directly criticising Elizabeth, therefore, these plays </w:t>
      </w:r>
      <w:r w:rsidR="0005330A">
        <w:rPr>
          <w:rFonts w:ascii="Times New Roman" w:hAnsi="Times New Roman" w:cs="Times New Roman"/>
          <w:sz w:val="24"/>
        </w:rPr>
        <w:t>we</w:t>
      </w:r>
      <w:r w:rsidR="000F2139">
        <w:rPr>
          <w:rFonts w:ascii="Times New Roman" w:hAnsi="Times New Roman" w:cs="Times New Roman"/>
          <w:sz w:val="24"/>
        </w:rPr>
        <w:t>re</w:t>
      </w:r>
      <w:r w:rsidR="009D4C7D">
        <w:rPr>
          <w:rFonts w:ascii="Times New Roman" w:hAnsi="Times New Roman" w:cs="Times New Roman"/>
          <w:sz w:val="24"/>
        </w:rPr>
        <w:t xml:space="preserve"> all</w:t>
      </w:r>
      <w:r w:rsidR="000F2139">
        <w:rPr>
          <w:rFonts w:ascii="Times New Roman" w:hAnsi="Times New Roman" w:cs="Times New Roman"/>
          <w:sz w:val="24"/>
        </w:rPr>
        <w:t xml:space="preserve"> inherently political in that they reflect</w:t>
      </w:r>
      <w:r w:rsidR="0005330A">
        <w:rPr>
          <w:rFonts w:ascii="Times New Roman" w:hAnsi="Times New Roman" w:cs="Times New Roman"/>
          <w:sz w:val="24"/>
        </w:rPr>
        <w:t>ed</w:t>
      </w:r>
      <w:r w:rsidR="000F2139">
        <w:rPr>
          <w:rFonts w:ascii="Times New Roman" w:hAnsi="Times New Roman" w:cs="Times New Roman"/>
          <w:sz w:val="24"/>
        </w:rPr>
        <w:t xml:space="preserve"> upon the nature of female virtue. With a queen regnant, these reflections c</w:t>
      </w:r>
      <w:r w:rsidR="006753F0">
        <w:rPr>
          <w:rFonts w:ascii="Times New Roman" w:hAnsi="Times New Roman" w:cs="Times New Roman"/>
          <w:sz w:val="24"/>
        </w:rPr>
        <w:t>ould</w:t>
      </w:r>
      <w:r w:rsidR="000F2139">
        <w:rPr>
          <w:rFonts w:ascii="Times New Roman" w:hAnsi="Times New Roman" w:cs="Times New Roman"/>
          <w:sz w:val="24"/>
        </w:rPr>
        <w:t xml:space="preserve"> never </w:t>
      </w:r>
      <w:r w:rsidR="000F2139" w:rsidRPr="0029523A">
        <w:rPr>
          <w:rFonts w:ascii="Times New Roman" w:hAnsi="Times New Roman" w:cs="Times New Roman"/>
          <w:sz w:val="24"/>
        </w:rPr>
        <w:t>not</w:t>
      </w:r>
      <w:r w:rsidR="000F2139">
        <w:rPr>
          <w:rFonts w:ascii="Times New Roman" w:hAnsi="Times New Roman" w:cs="Times New Roman"/>
          <w:sz w:val="24"/>
        </w:rPr>
        <w:t xml:space="preserve"> be political; they mirror</w:t>
      </w:r>
      <w:r w:rsidR="00F12B5E">
        <w:rPr>
          <w:rFonts w:ascii="Times New Roman" w:hAnsi="Times New Roman" w:cs="Times New Roman"/>
          <w:sz w:val="24"/>
        </w:rPr>
        <w:t>ed</w:t>
      </w:r>
      <w:r w:rsidR="000F2139">
        <w:rPr>
          <w:rFonts w:ascii="Times New Roman" w:hAnsi="Times New Roman" w:cs="Times New Roman"/>
          <w:sz w:val="24"/>
        </w:rPr>
        <w:t xml:space="preserve"> and contribute</w:t>
      </w:r>
      <w:r w:rsidR="00F12B5E">
        <w:rPr>
          <w:rFonts w:ascii="Times New Roman" w:hAnsi="Times New Roman" w:cs="Times New Roman"/>
          <w:sz w:val="24"/>
        </w:rPr>
        <w:t>d</w:t>
      </w:r>
      <w:r w:rsidR="000F2139">
        <w:rPr>
          <w:rFonts w:ascii="Times New Roman" w:hAnsi="Times New Roman" w:cs="Times New Roman"/>
          <w:sz w:val="24"/>
        </w:rPr>
        <w:t xml:space="preserve"> to an ongoing discussion of morality</w:t>
      </w:r>
      <w:r w:rsidR="009D4C7D">
        <w:rPr>
          <w:rFonts w:ascii="Times New Roman" w:hAnsi="Times New Roman" w:cs="Times New Roman"/>
          <w:sz w:val="24"/>
        </w:rPr>
        <w:t xml:space="preserve"> from</w:t>
      </w:r>
      <w:r w:rsidR="000F2139">
        <w:rPr>
          <w:rFonts w:ascii="Times New Roman" w:hAnsi="Times New Roman" w:cs="Times New Roman"/>
          <w:sz w:val="24"/>
        </w:rPr>
        <w:t xml:space="preserve"> which no woman c</w:t>
      </w:r>
      <w:r w:rsidR="00F12B5E">
        <w:rPr>
          <w:rFonts w:ascii="Times New Roman" w:hAnsi="Times New Roman" w:cs="Times New Roman"/>
          <w:sz w:val="24"/>
        </w:rPr>
        <w:t xml:space="preserve">ould </w:t>
      </w:r>
      <w:r w:rsidR="000F2139">
        <w:rPr>
          <w:rFonts w:ascii="Times New Roman" w:hAnsi="Times New Roman" w:cs="Times New Roman"/>
          <w:sz w:val="24"/>
        </w:rPr>
        <w:t>escape,</w:t>
      </w:r>
      <w:r w:rsidR="009D4C7D">
        <w:rPr>
          <w:rFonts w:ascii="Times New Roman" w:hAnsi="Times New Roman" w:cs="Times New Roman"/>
          <w:sz w:val="24"/>
        </w:rPr>
        <w:t xml:space="preserve"> </w:t>
      </w:r>
      <w:r w:rsidR="000F2139">
        <w:rPr>
          <w:rFonts w:ascii="Times New Roman" w:hAnsi="Times New Roman" w:cs="Times New Roman"/>
          <w:sz w:val="24"/>
        </w:rPr>
        <w:t>monarch or not.</w:t>
      </w:r>
    </w:p>
    <w:p w14:paraId="0BB1B9BF" w14:textId="10546FD1" w:rsidR="002915EB" w:rsidRDefault="002915EB" w:rsidP="002D58FB">
      <w:pPr>
        <w:spacing w:line="240" w:lineRule="auto"/>
        <w:jc w:val="both"/>
        <w:rPr>
          <w:rFonts w:ascii="Times New Roman" w:hAnsi="Times New Roman" w:cs="Times New Roman"/>
          <w:sz w:val="24"/>
        </w:rPr>
      </w:pPr>
      <w:r w:rsidRPr="002915EB">
        <w:rPr>
          <w:rFonts w:ascii="Times New Roman" w:hAnsi="Times New Roman" w:cs="Times New Roman"/>
          <w:sz w:val="24"/>
        </w:rPr>
        <w:t xml:space="preserve">It should be noted that Elizabeth had two </w:t>
      </w:r>
      <w:r>
        <w:rPr>
          <w:rFonts w:ascii="Times New Roman" w:hAnsi="Times New Roman" w:cs="Times New Roman"/>
          <w:sz w:val="24"/>
        </w:rPr>
        <w:t>rebuttals</w:t>
      </w:r>
      <w:r w:rsidRPr="002915EB">
        <w:rPr>
          <w:rFonts w:ascii="Times New Roman" w:hAnsi="Times New Roman" w:cs="Times New Roman"/>
          <w:sz w:val="24"/>
        </w:rPr>
        <w:t xml:space="preserve"> against</w:t>
      </w:r>
      <w:r w:rsidR="00037BFD">
        <w:rPr>
          <w:rFonts w:ascii="Times New Roman" w:hAnsi="Times New Roman" w:cs="Times New Roman"/>
          <w:sz w:val="24"/>
        </w:rPr>
        <w:t xml:space="preserve"> the questioning of</w:t>
      </w:r>
      <w:r>
        <w:rPr>
          <w:rFonts w:ascii="Times New Roman" w:hAnsi="Times New Roman" w:cs="Times New Roman"/>
          <w:sz w:val="24"/>
        </w:rPr>
        <w:t xml:space="preserve"> </w:t>
      </w:r>
      <w:r w:rsidR="00037BFD">
        <w:rPr>
          <w:rFonts w:ascii="Times New Roman" w:hAnsi="Times New Roman" w:cs="Times New Roman"/>
          <w:sz w:val="24"/>
        </w:rPr>
        <w:t xml:space="preserve">the compatibility of female rule and virtue </w:t>
      </w:r>
      <w:r w:rsidR="000F2139">
        <w:rPr>
          <w:rFonts w:ascii="Times New Roman" w:hAnsi="Times New Roman" w:cs="Times New Roman"/>
          <w:sz w:val="24"/>
        </w:rPr>
        <w:t xml:space="preserve">expressed in these plays. </w:t>
      </w:r>
      <w:r w:rsidR="009D4C7D">
        <w:rPr>
          <w:rFonts w:ascii="Times New Roman" w:hAnsi="Times New Roman" w:cs="Times New Roman"/>
          <w:sz w:val="24"/>
        </w:rPr>
        <w:t>F</w:t>
      </w:r>
      <w:r w:rsidR="009D4C7D" w:rsidRPr="002915EB">
        <w:rPr>
          <w:rFonts w:ascii="Times New Roman" w:hAnsi="Times New Roman" w:cs="Times New Roman"/>
          <w:sz w:val="24"/>
        </w:rPr>
        <w:t>irst</w:t>
      </w:r>
      <w:r w:rsidR="009D4C7D">
        <w:rPr>
          <w:rFonts w:ascii="Times New Roman" w:hAnsi="Times New Roman" w:cs="Times New Roman"/>
          <w:sz w:val="24"/>
        </w:rPr>
        <w:t>ly</w:t>
      </w:r>
      <w:r w:rsidRPr="002915EB">
        <w:rPr>
          <w:rFonts w:ascii="Times New Roman" w:hAnsi="Times New Roman" w:cs="Times New Roman"/>
          <w:sz w:val="24"/>
        </w:rPr>
        <w:t>, she had neither a husband nor children and therefore could not be torn between her realm and her duties as a private woman</w:t>
      </w:r>
      <w:r w:rsidR="000F2139">
        <w:rPr>
          <w:rFonts w:ascii="Times New Roman" w:hAnsi="Times New Roman" w:cs="Times New Roman"/>
          <w:sz w:val="24"/>
        </w:rPr>
        <w:t>.</w:t>
      </w:r>
      <w:r w:rsidR="00415401">
        <w:rPr>
          <w:rFonts w:ascii="Times New Roman" w:hAnsi="Times New Roman" w:cs="Times New Roman"/>
          <w:sz w:val="24"/>
        </w:rPr>
        <w:t xml:space="preserve"> </w:t>
      </w:r>
      <w:r w:rsidR="007B6F1E">
        <w:rPr>
          <w:rFonts w:ascii="Times New Roman" w:hAnsi="Times New Roman" w:cs="Times New Roman"/>
          <w:sz w:val="24"/>
        </w:rPr>
        <w:t>Indeed, Elizabeth</w:t>
      </w:r>
      <w:r w:rsidR="00415401">
        <w:rPr>
          <w:rFonts w:ascii="Times New Roman" w:hAnsi="Times New Roman" w:cs="Times New Roman"/>
          <w:sz w:val="24"/>
        </w:rPr>
        <w:t xml:space="preserve"> </w:t>
      </w:r>
      <w:r w:rsidR="00F34240">
        <w:rPr>
          <w:rFonts w:ascii="Times New Roman" w:hAnsi="Times New Roman" w:cs="Times New Roman"/>
          <w:sz w:val="24"/>
        </w:rPr>
        <w:t xml:space="preserve">frequently used the language of womanly love </w:t>
      </w:r>
      <w:r w:rsidR="007B6F1E">
        <w:rPr>
          <w:rFonts w:ascii="Times New Roman" w:hAnsi="Times New Roman" w:cs="Times New Roman"/>
          <w:sz w:val="24"/>
        </w:rPr>
        <w:t xml:space="preserve">to conceptualise her relationship with her </w:t>
      </w:r>
      <w:r w:rsidR="00CD23AB">
        <w:rPr>
          <w:rFonts w:ascii="Times New Roman" w:hAnsi="Times New Roman" w:cs="Times New Roman"/>
          <w:sz w:val="24"/>
        </w:rPr>
        <w:t>subjects</w:t>
      </w:r>
      <w:r w:rsidR="007B6F1E">
        <w:rPr>
          <w:rFonts w:ascii="Times New Roman" w:hAnsi="Times New Roman" w:cs="Times New Roman"/>
          <w:sz w:val="24"/>
        </w:rPr>
        <w:t xml:space="preserve">, </w:t>
      </w:r>
      <w:r w:rsidR="008D348C">
        <w:rPr>
          <w:rFonts w:ascii="Times New Roman" w:hAnsi="Times New Roman" w:cs="Times New Roman"/>
          <w:sz w:val="24"/>
        </w:rPr>
        <w:t xml:space="preserve">theoretically </w:t>
      </w:r>
      <w:r w:rsidR="007B6F1E">
        <w:rPr>
          <w:rFonts w:ascii="Times New Roman" w:hAnsi="Times New Roman" w:cs="Times New Roman"/>
          <w:sz w:val="24"/>
        </w:rPr>
        <w:t>unit</w:t>
      </w:r>
      <w:r w:rsidR="009C3947">
        <w:rPr>
          <w:rFonts w:ascii="Times New Roman" w:hAnsi="Times New Roman" w:cs="Times New Roman"/>
          <w:sz w:val="24"/>
        </w:rPr>
        <w:t>ing</w:t>
      </w:r>
      <w:r w:rsidR="007B6F1E">
        <w:rPr>
          <w:rFonts w:ascii="Times New Roman" w:hAnsi="Times New Roman" w:cs="Times New Roman"/>
          <w:sz w:val="24"/>
        </w:rPr>
        <w:t xml:space="preserve"> </w:t>
      </w:r>
      <w:r w:rsidR="009C3947">
        <w:rPr>
          <w:rFonts w:ascii="Times New Roman" w:hAnsi="Times New Roman" w:cs="Times New Roman"/>
          <w:sz w:val="24"/>
        </w:rPr>
        <w:t>her</w:t>
      </w:r>
      <w:r w:rsidR="007B6F1E">
        <w:rPr>
          <w:rFonts w:ascii="Times New Roman" w:hAnsi="Times New Roman" w:cs="Times New Roman"/>
          <w:sz w:val="24"/>
        </w:rPr>
        <w:t xml:space="preserve"> public and personal</w:t>
      </w:r>
      <w:r w:rsidR="009C3947">
        <w:rPr>
          <w:rFonts w:ascii="Times New Roman" w:hAnsi="Times New Roman" w:cs="Times New Roman"/>
          <w:sz w:val="24"/>
        </w:rPr>
        <w:t xml:space="preserve"> obligations</w:t>
      </w:r>
      <w:r w:rsidR="007B6F1E">
        <w:rPr>
          <w:rFonts w:ascii="Times New Roman" w:hAnsi="Times New Roman" w:cs="Times New Roman"/>
          <w:sz w:val="24"/>
        </w:rPr>
        <w:t>.</w:t>
      </w:r>
      <w:r w:rsidR="00CD23AB">
        <w:rPr>
          <w:rStyle w:val="FootnoteReference"/>
          <w:rFonts w:ascii="Times New Roman" w:hAnsi="Times New Roman" w:cs="Times New Roman"/>
          <w:sz w:val="24"/>
        </w:rPr>
        <w:footnoteReference w:id="140"/>
      </w:r>
      <w:r>
        <w:rPr>
          <w:rFonts w:ascii="Times New Roman" w:hAnsi="Times New Roman" w:cs="Times New Roman"/>
          <w:sz w:val="24"/>
        </w:rPr>
        <w:t xml:space="preserve"> </w:t>
      </w:r>
      <w:r w:rsidR="000F2139">
        <w:rPr>
          <w:rFonts w:ascii="Times New Roman" w:hAnsi="Times New Roman" w:cs="Times New Roman"/>
          <w:sz w:val="24"/>
        </w:rPr>
        <w:t>S</w:t>
      </w:r>
      <w:r w:rsidRPr="002915EB">
        <w:rPr>
          <w:rFonts w:ascii="Times New Roman" w:hAnsi="Times New Roman" w:cs="Times New Roman"/>
          <w:sz w:val="24"/>
        </w:rPr>
        <w:t xml:space="preserve">econdly, </w:t>
      </w:r>
      <w:r w:rsidR="00D72E2C">
        <w:rPr>
          <w:rFonts w:ascii="Times New Roman" w:hAnsi="Times New Roman" w:cs="Times New Roman"/>
          <w:sz w:val="24"/>
        </w:rPr>
        <w:t xml:space="preserve">she often used and promoted language </w:t>
      </w:r>
      <w:r w:rsidR="00806AFF">
        <w:rPr>
          <w:rFonts w:ascii="Times New Roman" w:hAnsi="Times New Roman" w:cs="Times New Roman"/>
          <w:sz w:val="24"/>
        </w:rPr>
        <w:t xml:space="preserve">about herself which </w:t>
      </w:r>
      <w:r w:rsidRPr="002915EB">
        <w:rPr>
          <w:rFonts w:ascii="Times New Roman" w:hAnsi="Times New Roman" w:cs="Times New Roman"/>
          <w:sz w:val="24"/>
        </w:rPr>
        <w:t>was designed to project an image of masculinity and thus counter accusations of female weakness, along</w:t>
      </w:r>
      <w:r w:rsidR="00806AFF">
        <w:rPr>
          <w:rFonts w:ascii="Times New Roman" w:hAnsi="Times New Roman" w:cs="Times New Roman"/>
          <w:sz w:val="24"/>
        </w:rPr>
        <w:t>side</w:t>
      </w:r>
      <w:r w:rsidRPr="002915EB">
        <w:rPr>
          <w:rFonts w:ascii="Times New Roman" w:hAnsi="Times New Roman" w:cs="Times New Roman"/>
          <w:sz w:val="24"/>
        </w:rPr>
        <w:t xml:space="preserve"> providential justifications. Her famous Tilbury speech in 1588 emphasised </w:t>
      </w:r>
      <w:r>
        <w:rPr>
          <w:rFonts w:ascii="Times New Roman" w:hAnsi="Times New Roman" w:cs="Times New Roman"/>
          <w:sz w:val="24"/>
        </w:rPr>
        <w:t xml:space="preserve">her legitimacy in masculine terms in her assertion that </w:t>
      </w:r>
      <w:r w:rsidRPr="002915EB">
        <w:rPr>
          <w:rFonts w:ascii="Times New Roman" w:hAnsi="Times New Roman" w:cs="Times New Roman"/>
          <w:sz w:val="24"/>
        </w:rPr>
        <w:t>‘</w:t>
      </w:r>
      <w:r w:rsidR="000F2139">
        <w:rPr>
          <w:rFonts w:ascii="Times New Roman" w:hAnsi="Times New Roman" w:cs="Times New Roman"/>
          <w:sz w:val="24"/>
        </w:rPr>
        <w:t>I</w:t>
      </w:r>
      <w:r w:rsidRPr="002915EB">
        <w:rPr>
          <w:rFonts w:ascii="Times New Roman" w:hAnsi="Times New Roman" w:cs="Times New Roman"/>
          <w:sz w:val="24"/>
        </w:rPr>
        <w:t xml:space="preserve"> have the body of a weak and feeble woman, but I have the heart and stomach of a king…’ </w:t>
      </w:r>
      <w:r>
        <w:rPr>
          <w:rFonts w:ascii="Times New Roman" w:hAnsi="Times New Roman" w:cs="Times New Roman"/>
          <w:sz w:val="24"/>
        </w:rPr>
        <w:t>whilst the</w:t>
      </w:r>
      <w:r w:rsidRPr="002915EB">
        <w:rPr>
          <w:rFonts w:ascii="Times New Roman" w:hAnsi="Times New Roman" w:cs="Times New Roman"/>
          <w:sz w:val="24"/>
        </w:rPr>
        <w:t xml:space="preserve"> </w:t>
      </w:r>
      <w:r>
        <w:rPr>
          <w:rFonts w:ascii="Times New Roman" w:hAnsi="Times New Roman" w:cs="Times New Roman"/>
          <w:sz w:val="24"/>
        </w:rPr>
        <w:t>promotion</w:t>
      </w:r>
      <w:r w:rsidRPr="002915EB">
        <w:rPr>
          <w:rFonts w:ascii="Times New Roman" w:hAnsi="Times New Roman" w:cs="Times New Roman"/>
          <w:sz w:val="24"/>
        </w:rPr>
        <w:t xml:space="preserve"> of </w:t>
      </w:r>
      <w:r w:rsidR="007E0774">
        <w:rPr>
          <w:rFonts w:ascii="Times New Roman" w:hAnsi="Times New Roman" w:cs="Times New Roman"/>
          <w:sz w:val="24"/>
        </w:rPr>
        <w:t xml:space="preserve">the </w:t>
      </w:r>
      <w:r w:rsidRPr="002915EB">
        <w:rPr>
          <w:rFonts w:ascii="Times New Roman" w:hAnsi="Times New Roman" w:cs="Times New Roman"/>
          <w:sz w:val="24"/>
        </w:rPr>
        <w:t>cult of the Virgin Queen</w:t>
      </w:r>
      <w:r>
        <w:rPr>
          <w:rFonts w:ascii="Times New Roman" w:hAnsi="Times New Roman" w:cs="Times New Roman"/>
          <w:sz w:val="24"/>
        </w:rPr>
        <w:t xml:space="preserve"> simultaneously emphasised her feminine independence and virtue.</w:t>
      </w:r>
      <w:r>
        <w:rPr>
          <w:rStyle w:val="FootnoteReference"/>
          <w:rFonts w:ascii="Times New Roman" w:hAnsi="Times New Roman" w:cs="Times New Roman"/>
          <w:sz w:val="24"/>
        </w:rPr>
        <w:footnoteReference w:id="141"/>
      </w:r>
    </w:p>
    <w:p w14:paraId="211BC297" w14:textId="7DF5D5C4" w:rsidR="002915EB" w:rsidRPr="002915EB" w:rsidRDefault="002915EB" w:rsidP="002D58FB">
      <w:pPr>
        <w:spacing w:line="240" w:lineRule="auto"/>
        <w:jc w:val="both"/>
        <w:rPr>
          <w:rFonts w:ascii="Times New Roman" w:hAnsi="Times New Roman" w:cs="Times New Roman"/>
          <w:sz w:val="24"/>
        </w:rPr>
      </w:pPr>
      <w:r w:rsidRPr="002915EB">
        <w:rPr>
          <w:rFonts w:ascii="Times New Roman" w:hAnsi="Times New Roman" w:cs="Times New Roman"/>
          <w:sz w:val="24"/>
        </w:rPr>
        <w:t>However, despite these defences, there were still severe objections to female rule</w:t>
      </w:r>
      <w:r>
        <w:rPr>
          <w:rFonts w:ascii="Times New Roman" w:hAnsi="Times New Roman" w:cs="Times New Roman"/>
          <w:sz w:val="24"/>
        </w:rPr>
        <w:t>. In the first place</w:t>
      </w:r>
      <w:r w:rsidRPr="002915EB">
        <w:rPr>
          <w:rFonts w:ascii="Times New Roman" w:hAnsi="Times New Roman" w:cs="Times New Roman"/>
          <w:sz w:val="24"/>
        </w:rPr>
        <w:t xml:space="preserve">, </w:t>
      </w:r>
      <w:r w:rsidR="00206F98">
        <w:rPr>
          <w:rFonts w:ascii="Times New Roman" w:hAnsi="Times New Roman" w:cs="Times New Roman"/>
          <w:sz w:val="24"/>
        </w:rPr>
        <w:t>al</w:t>
      </w:r>
      <w:r w:rsidRPr="002915EB">
        <w:rPr>
          <w:rFonts w:ascii="Times New Roman" w:hAnsi="Times New Roman" w:cs="Times New Roman"/>
          <w:sz w:val="24"/>
        </w:rPr>
        <w:t>though Elizabeth</w:t>
      </w:r>
      <w:r w:rsidR="00F12B5E">
        <w:rPr>
          <w:rFonts w:ascii="Times New Roman" w:hAnsi="Times New Roman" w:cs="Times New Roman"/>
          <w:sz w:val="24"/>
        </w:rPr>
        <w:t xml:space="preserve"> </w:t>
      </w:r>
      <w:r w:rsidRPr="002915EB">
        <w:rPr>
          <w:rFonts w:ascii="Times New Roman" w:hAnsi="Times New Roman" w:cs="Times New Roman"/>
          <w:sz w:val="24"/>
        </w:rPr>
        <w:t xml:space="preserve">attempted to present her femininity in masculine terms, it was clear that she </w:t>
      </w:r>
      <w:r w:rsidR="00B847CF">
        <w:rPr>
          <w:rFonts w:ascii="Times New Roman" w:hAnsi="Times New Roman" w:cs="Times New Roman"/>
          <w:sz w:val="24"/>
        </w:rPr>
        <w:t>faced</w:t>
      </w:r>
      <w:r w:rsidRPr="002915EB">
        <w:rPr>
          <w:rFonts w:ascii="Times New Roman" w:hAnsi="Times New Roman" w:cs="Times New Roman"/>
          <w:sz w:val="24"/>
        </w:rPr>
        <w:t xml:space="preserve"> significant practical limitations </w:t>
      </w:r>
      <w:r w:rsidR="00B847CF" w:rsidRPr="002915EB">
        <w:rPr>
          <w:rFonts w:ascii="Times New Roman" w:hAnsi="Times New Roman" w:cs="Times New Roman"/>
          <w:sz w:val="24"/>
        </w:rPr>
        <w:t>because of</w:t>
      </w:r>
      <w:r w:rsidRPr="002915EB">
        <w:rPr>
          <w:rFonts w:ascii="Times New Roman" w:hAnsi="Times New Roman" w:cs="Times New Roman"/>
          <w:sz w:val="24"/>
        </w:rPr>
        <w:t xml:space="preserve"> her gender</w:t>
      </w:r>
      <w:r>
        <w:rPr>
          <w:rFonts w:ascii="Times New Roman" w:hAnsi="Times New Roman" w:cs="Times New Roman"/>
          <w:sz w:val="24"/>
        </w:rPr>
        <w:t>, especially in</w:t>
      </w:r>
      <w:r w:rsidR="00DE34D9">
        <w:rPr>
          <w:rFonts w:ascii="Times New Roman" w:hAnsi="Times New Roman" w:cs="Times New Roman"/>
          <w:sz w:val="24"/>
        </w:rPr>
        <w:t xml:space="preserve"> war which dominated political discussion in the 1590s.</w:t>
      </w:r>
      <w:r w:rsidRPr="002915EB">
        <w:rPr>
          <w:rFonts w:ascii="Times New Roman" w:hAnsi="Times New Roman" w:cs="Times New Roman"/>
          <w:sz w:val="24"/>
        </w:rPr>
        <w:t xml:space="preserve"> </w:t>
      </w:r>
      <w:r w:rsidR="005731B8">
        <w:rPr>
          <w:rFonts w:ascii="Times New Roman" w:hAnsi="Times New Roman" w:cs="Times New Roman"/>
          <w:sz w:val="24"/>
        </w:rPr>
        <w:t>W</w:t>
      </w:r>
      <w:r w:rsidRPr="002915EB">
        <w:rPr>
          <w:rFonts w:ascii="Times New Roman" w:hAnsi="Times New Roman" w:cs="Times New Roman"/>
          <w:sz w:val="24"/>
        </w:rPr>
        <w:t>e can see this within</w:t>
      </w:r>
      <w:r w:rsidR="00B847CF">
        <w:rPr>
          <w:rFonts w:ascii="Times New Roman" w:hAnsi="Times New Roman" w:cs="Times New Roman"/>
          <w:sz w:val="24"/>
        </w:rPr>
        <w:t xml:space="preserve"> the</w:t>
      </w:r>
      <w:r w:rsidRPr="002915EB">
        <w:rPr>
          <w:rFonts w:ascii="Times New Roman" w:hAnsi="Times New Roman" w:cs="Times New Roman"/>
          <w:sz w:val="24"/>
        </w:rPr>
        <w:t xml:space="preserve"> Tilbury speech itself </w:t>
      </w:r>
      <w:r w:rsidR="00897A0B">
        <w:rPr>
          <w:rFonts w:ascii="Times New Roman" w:hAnsi="Times New Roman" w:cs="Times New Roman"/>
          <w:sz w:val="24"/>
        </w:rPr>
        <w:t>since</w:t>
      </w:r>
      <w:r w:rsidR="005731B8">
        <w:rPr>
          <w:rFonts w:ascii="Times New Roman" w:hAnsi="Times New Roman" w:cs="Times New Roman"/>
          <w:sz w:val="24"/>
        </w:rPr>
        <w:t xml:space="preserve"> </w:t>
      </w:r>
      <w:r w:rsidRPr="002915EB">
        <w:rPr>
          <w:rFonts w:ascii="Times New Roman" w:hAnsi="Times New Roman" w:cs="Times New Roman"/>
          <w:sz w:val="24"/>
        </w:rPr>
        <w:t>Elizabeth ha</w:t>
      </w:r>
      <w:r w:rsidR="00897A0B">
        <w:rPr>
          <w:rFonts w:ascii="Times New Roman" w:hAnsi="Times New Roman" w:cs="Times New Roman"/>
          <w:sz w:val="24"/>
        </w:rPr>
        <w:t>d</w:t>
      </w:r>
      <w:r w:rsidRPr="002915EB">
        <w:rPr>
          <w:rFonts w:ascii="Times New Roman" w:hAnsi="Times New Roman" w:cs="Times New Roman"/>
          <w:sz w:val="24"/>
        </w:rPr>
        <w:t xml:space="preserve"> to surrender command of her forces to her Lieutenant General, Leicester</w:t>
      </w:r>
      <w:r w:rsidR="005731B8">
        <w:rPr>
          <w:rFonts w:ascii="Times New Roman" w:hAnsi="Times New Roman" w:cs="Times New Roman"/>
          <w:sz w:val="24"/>
        </w:rPr>
        <w:t>.</w:t>
      </w:r>
      <w:r w:rsidR="005731B8">
        <w:rPr>
          <w:rStyle w:val="FootnoteReference"/>
          <w:rFonts w:ascii="Times New Roman" w:hAnsi="Times New Roman" w:cs="Times New Roman"/>
          <w:sz w:val="24"/>
        </w:rPr>
        <w:footnoteReference w:id="142"/>
      </w:r>
      <w:r w:rsidRPr="002915EB">
        <w:rPr>
          <w:rFonts w:ascii="Times New Roman" w:hAnsi="Times New Roman" w:cs="Times New Roman"/>
          <w:sz w:val="24"/>
        </w:rPr>
        <w:t xml:space="preserve"> </w:t>
      </w:r>
      <w:r w:rsidR="002D5CC9">
        <w:rPr>
          <w:rFonts w:ascii="Times New Roman" w:hAnsi="Times New Roman" w:cs="Times New Roman"/>
          <w:sz w:val="24"/>
        </w:rPr>
        <w:t>D</w:t>
      </w:r>
      <w:r w:rsidR="005731B8">
        <w:rPr>
          <w:rFonts w:ascii="Times New Roman" w:hAnsi="Times New Roman" w:cs="Times New Roman"/>
          <w:sz w:val="24"/>
        </w:rPr>
        <w:t>ifficulties with commanders in the field were a frequent occurrence,</w:t>
      </w:r>
      <w:r w:rsidRPr="002915EB">
        <w:rPr>
          <w:rFonts w:ascii="Times New Roman" w:hAnsi="Times New Roman" w:cs="Times New Roman"/>
          <w:sz w:val="24"/>
        </w:rPr>
        <w:t xml:space="preserve"> </w:t>
      </w:r>
      <w:r w:rsidR="005731B8">
        <w:rPr>
          <w:rFonts w:ascii="Times New Roman" w:hAnsi="Times New Roman" w:cs="Times New Roman"/>
          <w:sz w:val="24"/>
        </w:rPr>
        <w:t xml:space="preserve">and their reluctance to listen to </w:t>
      </w:r>
      <w:r w:rsidR="002D5CC9">
        <w:rPr>
          <w:rFonts w:ascii="Times New Roman" w:hAnsi="Times New Roman" w:cs="Times New Roman"/>
          <w:sz w:val="24"/>
        </w:rPr>
        <w:t>Elizabeth</w:t>
      </w:r>
      <w:r w:rsidR="005731B8">
        <w:rPr>
          <w:rFonts w:ascii="Times New Roman" w:hAnsi="Times New Roman" w:cs="Times New Roman"/>
          <w:sz w:val="24"/>
        </w:rPr>
        <w:t xml:space="preserve"> suggests a disregard for what they saw as womanly hesitancy and indecisiveness.</w:t>
      </w:r>
      <w:r w:rsidR="005731B8">
        <w:rPr>
          <w:rStyle w:val="FootnoteReference"/>
          <w:rFonts w:ascii="Times New Roman" w:hAnsi="Times New Roman" w:cs="Times New Roman"/>
          <w:sz w:val="24"/>
        </w:rPr>
        <w:footnoteReference w:id="143"/>
      </w:r>
      <w:r w:rsidR="005731B8">
        <w:rPr>
          <w:rFonts w:ascii="Times New Roman" w:hAnsi="Times New Roman" w:cs="Times New Roman"/>
          <w:sz w:val="24"/>
        </w:rPr>
        <w:t xml:space="preserve"> </w:t>
      </w:r>
      <w:r w:rsidR="00FF0A3D">
        <w:rPr>
          <w:rFonts w:ascii="Times New Roman" w:hAnsi="Times New Roman" w:cs="Times New Roman"/>
          <w:sz w:val="24"/>
        </w:rPr>
        <w:t xml:space="preserve">The Earl of Essex was particularly notorious for arguing with the queen over military matters, </w:t>
      </w:r>
      <w:r w:rsidR="00810690">
        <w:rPr>
          <w:rFonts w:ascii="Times New Roman" w:hAnsi="Times New Roman" w:cs="Times New Roman"/>
          <w:sz w:val="24"/>
        </w:rPr>
        <w:t>being</w:t>
      </w:r>
      <w:r w:rsidR="00FF0A3D">
        <w:rPr>
          <w:rFonts w:ascii="Times New Roman" w:hAnsi="Times New Roman" w:cs="Times New Roman"/>
          <w:sz w:val="24"/>
        </w:rPr>
        <w:t xml:space="preserve"> banished from court in July 1598 for quarrelling with Elizabeth over the Irish campaign. In letters to the queen he openly defined her rule ‘as effeminate and unpredictable, dependent on her emotions.’</w:t>
      </w:r>
      <w:r w:rsidR="00FF0A3D">
        <w:rPr>
          <w:rStyle w:val="FootnoteReference"/>
          <w:rFonts w:ascii="Times New Roman" w:hAnsi="Times New Roman" w:cs="Times New Roman"/>
          <w:sz w:val="24"/>
        </w:rPr>
        <w:footnoteReference w:id="144"/>
      </w:r>
      <w:r w:rsidR="00FF0A3D">
        <w:rPr>
          <w:rFonts w:ascii="Times New Roman" w:hAnsi="Times New Roman" w:cs="Times New Roman"/>
          <w:sz w:val="24"/>
        </w:rPr>
        <w:t xml:space="preserve"> These acts of explicitly gendered defiance demonstrate that Elizabeth’s defences against accusations of typical female weakness did not impede attacks against her based upon her gender. </w:t>
      </w:r>
    </w:p>
    <w:p w14:paraId="06DE0DD9" w14:textId="18081312" w:rsidR="005731B8" w:rsidRDefault="002915EB" w:rsidP="002D58FB">
      <w:pPr>
        <w:spacing w:line="240" w:lineRule="auto"/>
        <w:jc w:val="both"/>
        <w:rPr>
          <w:rFonts w:ascii="Times New Roman" w:hAnsi="Times New Roman" w:cs="Times New Roman"/>
          <w:sz w:val="24"/>
        </w:rPr>
      </w:pPr>
      <w:r w:rsidRPr="002915EB">
        <w:rPr>
          <w:rFonts w:ascii="Times New Roman" w:hAnsi="Times New Roman" w:cs="Times New Roman"/>
          <w:sz w:val="24"/>
        </w:rPr>
        <w:t xml:space="preserve">Secondly, </w:t>
      </w:r>
      <w:r w:rsidR="005731B8">
        <w:rPr>
          <w:rFonts w:ascii="Times New Roman" w:hAnsi="Times New Roman" w:cs="Times New Roman"/>
          <w:sz w:val="24"/>
        </w:rPr>
        <w:t>al</w:t>
      </w:r>
      <w:r w:rsidRPr="002915EB">
        <w:rPr>
          <w:rFonts w:ascii="Times New Roman" w:hAnsi="Times New Roman" w:cs="Times New Roman"/>
          <w:sz w:val="24"/>
        </w:rPr>
        <w:t xml:space="preserve">though Elizabeth </w:t>
      </w:r>
      <w:r w:rsidR="0091098D">
        <w:rPr>
          <w:rFonts w:ascii="Times New Roman" w:hAnsi="Times New Roman" w:cs="Times New Roman"/>
          <w:sz w:val="24"/>
        </w:rPr>
        <w:t xml:space="preserve">attempted to </w:t>
      </w:r>
      <w:r w:rsidR="00F50E26">
        <w:rPr>
          <w:rFonts w:ascii="Times New Roman" w:hAnsi="Times New Roman" w:cs="Times New Roman"/>
          <w:sz w:val="24"/>
        </w:rPr>
        <w:t>marry the language of political and personal obligations</w:t>
      </w:r>
      <w:r w:rsidRPr="002915EB">
        <w:rPr>
          <w:rFonts w:ascii="Times New Roman" w:hAnsi="Times New Roman" w:cs="Times New Roman"/>
          <w:sz w:val="24"/>
        </w:rPr>
        <w:t>,</w:t>
      </w:r>
      <w:r w:rsidR="00510726">
        <w:rPr>
          <w:rFonts w:ascii="Times New Roman" w:hAnsi="Times New Roman" w:cs="Times New Roman"/>
          <w:sz w:val="24"/>
        </w:rPr>
        <w:t xml:space="preserve"> as well as not having a husband or children to divide her loyalties,</w:t>
      </w:r>
      <w:r w:rsidR="00F437AC">
        <w:rPr>
          <w:rFonts w:ascii="Times New Roman" w:hAnsi="Times New Roman" w:cs="Times New Roman"/>
          <w:sz w:val="24"/>
        </w:rPr>
        <w:t xml:space="preserve"> she was still open to the</w:t>
      </w:r>
      <w:r w:rsidRPr="002915EB">
        <w:rPr>
          <w:rFonts w:ascii="Times New Roman" w:hAnsi="Times New Roman" w:cs="Times New Roman"/>
          <w:sz w:val="24"/>
        </w:rPr>
        <w:t xml:space="preserve"> more fundamental</w:t>
      </w:r>
      <w:r w:rsidR="009E43D0">
        <w:rPr>
          <w:rFonts w:ascii="Times New Roman" w:hAnsi="Times New Roman" w:cs="Times New Roman"/>
          <w:sz w:val="24"/>
        </w:rPr>
        <w:t xml:space="preserve"> criticism of female rule</w:t>
      </w:r>
      <w:r w:rsidR="005C12F5">
        <w:rPr>
          <w:rFonts w:ascii="Times New Roman" w:hAnsi="Times New Roman" w:cs="Times New Roman"/>
          <w:sz w:val="24"/>
        </w:rPr>
        <w:t xml:space="preserve"> made in these plays</w:t>
      </w:r>
      <w:r w:rsidR="00E3568D">
        <w:rPr>
          <w:rFonts w:ascii="Times New Roman" w:hAnsi="Times New Roman" w:cs="Times New Roman"/>
          <w:sz w:val="24"/>
        </w:rPr>
        <w:t xml:space="preserve"> which</w:t>
      </w:r>
      <w:r w:rsidRPr="002915EB">
        <w:rPr>
          <w:rFonts w:ascii="Times New Roman" w:hAnsi="Times New Roman" w:cs="Times New Roman"/>
          <w:sz w:val="24"/>
        </w:rPr>
        <w:t xml:space="preserve"> suggest</w:t>
      </w:r>
      <w:r w:rsidR="00E3568D">
        <w:rPr>
          <w:rFonts w:ascii="Times New Roman" w:hAnsi="Times New Roman" w:cs="Times New Roman"/>
          <w:sz w:val="24"/>
        </w:rPr>
        <w:t>s</w:t>
      </w:r>
      <w:r w:rsidRPr="002915EB">
        <w:rPr>
          <w:rFonts w:ascii="Times New Roman" w:hAnsi="Times New Roman" w:cs="Times New Roman"/>
          <w:sz w:val="24"/>
        </w:rPr>
        <w:t xml:space="preserve"> that there is something unnatural about Elizabeth’s lack of the things that normally bestow virtue upon a woman</w:t>
      </w:r>
      <w:r w:rsidR="005731B8">
        <w:rPr>
          <w:rFonts w:ascii="Times New Roman" w:hAnsi="Times New Roman" w:cs="Times New Roman"/>
          <w:sz w:val="24"/>
        </w:rPr>
        <w:t>.</w:t>
      </w:r>
      <w:r w:rsidR="00EF6552" w:rsidRPr="00EF6552">
        <w:rPr>
          <w:rFonts w:ascii="Times New Roman" w:hAnsi="Times New Roman" w:cs="Times New Roman"/>
          <w:sz w:val="24"/>
        </w:rPr>
        <w:t xml:space="preserve"> Daniel’s play is especially </w:t>
      </w:r>
      <w:r w:rsidR="00862B09">
        <w:rPr>
          <w:rFonts w:ascii="Times New Roman" w:hAnsi="Times New Roman" w:cs="Times New Roman"/>
          <w:sz w:val="24"/>
        </w:rPr>
        <w:t>suggestive of criticism</w:t>
      </w:r>
      <w:r w:rsidR="00F010EF">
        <w:rPr>
          <w:rFonts w:ascii="Times New Roman" w:hAnsi="Times New Roman" w:cs="Times New Roman"/>
          <w:sz w:val="24"/>
        </w:rPr>
        <w:t>,</w:t>
      </w:r>
      <w:r w:rsidR="00EF6552" w:rsidRPr="00EF6552">
        <w:rPr>
          <w:rFonts w:ascii="Times New Roman" w:hAnsi="Times New Roman" w:cs="Times New Roman"/>
          <w:sz w:val="24"/>
        </w:rPr>
        <w:t xml:space="preserve"> since its focus on Cleopatra’s children and the succession of the Ptolemaic dynasty patently mirrors questions </w:t>
      </w:r>
      <w:r w:rsidR="00E5294B">
        <w:rPr>
          <w:rFonts w:ascii="Times New Roman" w:hAnsi="Times New Roman" w:cs="Times New Roman"/>
          <w:sz w:val="24"/>
        </w:rPr>
        <w:lastRenderedPageBreak/>
        <w:t>about</w:t>
      </w:r>
      <w:r w:rsidR="00232255">
        <w:rPr>
          <w:rFonts w:ascii="Times New Roman" w:hAnsi="Times New Roman" w:cs="Times New Roman"/>
          <w:sz w:val="24"/>
        </w:rPr>
        <w:t xml:space="preserve"> </w:t>
      </w:r>
      <w:r w:rsidR="00BC18EB">
        <w:rPr>
          <w:rFonts w:ascii="Times New Roman" w:hAnsi="Times New Roman" w:cs="Times New Roman"/>
          <w:sz w:val="24"/>
        </w:rPr>
        <w:t>the</w:t>
      </w:r>
      <w:r w:rsidR="00EF6552" w:rsidRPr="00EF6552">
        <w:rPr>
          <w:rFonts w:ascii="Times New Roman" w:hAnsi="Times New Roman" w:cs="Times New Roman"/>
          <w:sz w:val="24"/>
        </w:rPr>
        <w:t xml:space="preserve"> success</w:t>
      </w:r>
      <w:r w:rsidR="00BC18EB">
        <w:rPr>
          <w:rFonts w:ascii="Times New Roman" w:hAnsi="Times New Roman" w:cs="Times New Roman"/>
          <w:sz w:val="24"/>
        </w:rPr>
        <w:t>ion</w:t>
      </w:r>
      <w:r w:rsidR="00EF6552" w:rsidRPr="00EF6552">
        <w:rPr>
          <w:rFonts w:ascii="Times New Roman" w:hAnsi="Times New Roman" w:cs="Times New Roman"/>
          <w:sz w:val="24"/>
        </w:rPr>
        <w:t>.</w:t>
      </w:r>
      <w:r w:rsidR="00EF6552" w:rsidRPr="00EF6552">
        <w:rPr>
          <w:rFonts w:ascii="Times New Roman" w:hAnsi="Times New Roman" w:cs="Times New Roman"/>
          <w:sz w:val="24"/>
          <w:vertAlign w:val="superscript"/>
        </w:rPr>
        <w:footnoteReference w:id="145"/>
      </w:r>
      <w:r w:rsidR="005731B8">
        <w:rPr>
          <w:rFonts w:ascii="Times New Roman" w:hAnsi="Times New Roman" w:cs="Times New Roman"/>
          <w:sz w:val="24"/>
        </w:rPr>
        <w:t xml:space="preserve"> The</w:t>
      </w:r>
      <w:r w:rsidR="00EF6552">
        <w:rPr>
          <w:rFonts w:ascii="Times New Roman" w:hAnsi="Times New Roman" w:cs="Times New Roman"/>
          <w:sz w:val="24"/>
        </w:rPr>
        <w:t xml:space="preserve"> plays</w:t>
      </w:r>
      <w:r w:rsidRPr="002915EB">
        <w:rPr>
          <w:rFonts w:ascii="Times New Roman" w:hAnsi="Times New Roman" w:cs="Times New Roman"/>
          <w:sz w:val="24"/>
        </w:rPr>
        <w:t xml:space="preserve"> also emphasise womanly weakness generally</w:t>
      </w:r>
      <w:r w:rsidR="005731B8">
        <w:rPr>
          <w:rFonts w:ascii="Times New Roman" w:hAnsi="Times New Roman" w:cs="Times New Roman"/>
          <w:sz w:val="24"/>
        </w:rPr>
        <w:t xml:space="preserve">, suggesting that this weakness is a natural part of womanhood and even of female virtue, as seen in </w:t>
      </w:r>
      <w:r w:rsidRPr="002915EB">
        <w:rPr>
          <w:rFonts w:ascii="Times New Roman" w:hAnsi="Times New Roman" w:cs="Times New Roman"/>
          <w:sz w:val="24"/>
        </w:rPr>
        <w:t>Portia’s overhasty death</w:t>
      </w:r>
      <w:r w:rsidR="005731B8">
        <w:rPr>
          <w:rFonts w:ascii="Times New Roman" w:hAnsi="Times New Roman" w:cs="Times New Roman"/>
          <w:sz w:val="24"/>
        </w:rPr>
        <w:t xml:space="preserve"> and</w:t>
      </w:r>
      <w:r w:rsidRPr="002915EB">
        <w:rPr>
          <w:rFonts w:ascii="Times New Roman" w:hAnsi="Times New Roman" w:cs="Times New Roman"/>
          <w:sz w:val="24"/>
        </w:rPr>
        <w:t xml:space="preserve"> Cornelia’s </w:t>
      </w:r>
      <w:r w:rsidR="00316302">
        <w:rPr>
          <w:rFonts w:ascii="Times New Roman" w:hAnsi="Times New Roman" w:cs="Times New Roman"/>
          <w:sz w:val="24"/>
        </w:rPr>
        <w:t>hesitancy in adopting</w:t>
      </w:r>
      <w:r w:rsidRPr="002915EB">
        <w:rPr>
          <w:rFonts w:ascii="Times New Roman" w:hAnsi="Times New Roman" w:cs="Times New Roman"/>
          <w:sz w:val="24"/>
        </w:rPr>
        <w:t xml:space="preserve"> a stoical approach to grief</w:t>
      </w:r>
      <w:r w:rsidR="005731B8">
        <w:rPr>
          <w:rFonts w:ascii="Times New Roman" w:hAnsi="Times New Roman" w:cs="Times New Roman"/>
          <w:sz w:val="24"/>
        </w:rPr>
        <w:t>. Elizabeth herself had to repeatedly recognise the supposed weakness which her sex bestowed upon her, with her declining at the closing of Parliament in March 1576 to take credit for ‘this hap and good success’ because ‘my sex permits it not.’</w:t>
      </w:r>
      <w:r w:rsidR="005731B8">
        <w:rPr>
          <w:rStyle w:val="FootnoteReference"/>
          <w:rFonts w:ascii="Times New Roman" w:hAnsi="Times New Roman" w:cs="Times New Roman"/>
          <w:sz w:val="24"/>
        </w:rPr>
        <w:footnoteReference w:id="146"/>
      </w:r>
      <w:r w:rsidR="005731B8">
        <w:rPr>
          <w:rFonts w:ascii="Times New Roman" w:hAnsi="Times New Roman" w:cs="Times New Roman"/>
          <w:sz w:val="24"/>
        </w:rPr>
        <w:t xml:space="preserve"> </w:t>
      </w:r>
    </w:p>
    <w:p w14:paraId="5AC1401E" w14:textId="2D232A06" w:rsidR="00F61494" w:rsidRDefault="00426267" w:rsidP="002D58FB">
      <w:pPr>
        <w:spacing w:line="240" w:lineRule="auto"/>
        <w:jc w:val="both"/>
        <w:rPr>
          <w:rFonts w:ascii="Times New Roman" w:hAnsi="Times New Roman" w:cs="Times New Roman"/>
          <w:sz w:val="24"/>
        </w:rPr>
      </w:pPr>
      <w:r>
        <w:rPr>
          <w:rFonts w:ascii="Times New Roman" w:hAnsi="Times New Roman" w:cs="Times New Roman"/>
          <w:sz w:val="24"/>
        </w:rPr>
        <w:t>A</w:t>
      </w:r>
      <w:r w:rsidR="002915EB" w:rsidRPr="002915EB">
        <w:rPr>
          <w:rFonts w:ascii="Times New Roman" w:hAnsi="Times New Roman" w:cs="Times New Roman"/>
          <w:sz w:val="24"/>
        </w:rPr>
        <w:t>ll</w:t>
      </w:r>
      <w:r>
        <w:rPr>
          <w:rFonts w:ascii="Times New Roman" w:hAnsi="Times New Roman" w:cs="Times New Roman"/>
          <w:sz w:val="24"/>
        </w:rPr>
        <w:t xml:space="preserve"> these questions about female virtue, weakness and rule</w:t>
      </w:r>
      <w:r w:rsidR="002915EB" w:rsidRPr="002915EB">
        <w:rPr>
          <w:rFonts w:ascii="Times New Roman" w:hAnsi="Times New Roman" w:cs="Times New Roman"/>
          <w:sz w:val="24"/>
        </w:rPr>
        <w:t xml:space="preserve"> fit into a broader narrative which was being constructed in opposition to the regime throughout the long 1590s, chiefly but not entirely dominated by the Essex circle. This narrative was pro-war and</w:t>
      </w:r>
      <w:r w:rsidR="00F12B5E">
        <w:rPr>
          <w:rFonts w:ascii="Times New Roman" w:hAnsi="Times New Roman" w:cs="Times New Roman"/>
          <w:sz w:val="24"/>
        </w:rPr>
        <w:t xml:space="preserve"> </w:t>
      </w:r>
      <w:r w:rsidR="002915EB" w:rsidRPr="002915EB">
        <w:rPr>
          <w:rFonts w:ascii="Times New Roman" w:hAnsi="Times New Roman" w:cs="Times New Roman"/>
          <w:sz w:val="24"/>
        </w:rPr>
        <w:t>want</w:t>
      </w:r>
      <w:r w:rsidR="00EB0243">
        <w:rPr>
          <w:rFonts w:ascii="Times New Roman" w:hAnsi="Times New Roman" w:cs="Times New Roman"/>
          <w:sz w:val="24"/>
        </w:rPr>
        <w:t>ed</w:t>
      </w:r>
      <w:r w:rsidR="002915EB" w:rsidRPr="002915EB">
        <w:rPr>
          <w:rFonts w:ascii="Times New Roman" w:hAnsi="Times New Roman" w:cs="Times New Roman"/>
          <w:sz w:val="24"/>
        </w:rPr>
        <w:t xml:space="preserve"> to emphasise the importance of figures other than the queen. These plays, and the portrayal of women within them, all fed into this narrative by portraying female virtue as p</w:t>
      </w:r>
      <w:r w:rsidR="00EF6552">
        <w:rPr>
          <w:rFonts w:ascii="Times New Roman" w:hAnsi="Times New Roman" w:cs="Times New Roman"/>
          <w:sz w:val="24"/>
        </w:rPr>
        <w:t>olitica</w:t>
      </w:r>
      <w:r w:rsidR="002915EB" w:rsidRPr="002915EB">
        <w:rPr>
          <w:rFonts w:ascii="Times New Roman" w:hAnsi="Times New Roman" w:cs="Times New Roman"/>
          <w:sz w:val="24"/>
        </w:rPr>
        <w:t xml:space="preserve">lly dangerous and </w:t>
      </w:r>
      <w:r w:rsidR="008202FF">
        <w:rPr>
          <w:rFonts w:ascii="Times New Roman" w:hAnsi="Times New Roman" w:cs="Times New Roman"/>
          <w:sz w:val="24"/>
        </w:rPr>
        <w:t xml:space="preserve">the </w:t>
      </w:r>
      <w:r w:rsidR="002915EB" w:rsidRPr="002915EB">
        <w:rPr>
          <w:rFonts w:ascii="Times New Roman" w:hAnsi="Times New Roman" w:cs="Times New Roman"/>
          <w:sz w:val="24"/>
        </w:rPr>
        <w:t>antithesis of strong rule promoting the common good.</w:t>
      </w:r>
      <w:r w:rsidR="005731B8">
        <w:rPr>
          <w:rFonts w:ascii="Times New Roman" w:hAnsi="Times New Roman" w:cs="Times New Roman"/>
          <w:sz w:val="24"/>
        </w:rPr>
        <w:t xml:space="preserve"> </w:t>
      </w:r>
      <w:r w:rsidR="001F7F4E">
        <w:rPr>
          <w:rFonts w:ascii="Times New Roman" w:hAnsi="Times New Roman" w:cs="Times New Roman"/>
          <w:sz w:val="24"/>
        </w:rPr>
        <w:t>T</w:t>
      </w:r>
      <w:r w:rsidR="00C10EAB">
        <w:rPr>
          <w:rFonts w:ascii="Times New Roman" w:hAnsi="Times New Roman" w:cs="Times New Roman"/>
          <w:sz w:val="24"/>
        </w:rPr>
        <w:t>he</w:t>
      </w:r>
      <w:r w:rsidR="008202FF">
        <w:rPr>
          <w:rFonts w:ascii="Times New Roman" w:hAnsi="Times New Roman" w:cs="Times New Roman"/>
          <w:sz w:val="24"/>
        </w:rPr>
        <w:t xml:space="preserve"> natural implication of this </w:t>
      </w:r>
      <w:r w:rsidR="000D54AD">
        <w:rPr>
          <w:rFonts w:ascii="Times New Roman" w:hAnsi="Times New Roman" w:cs="Times New Roman"/>
          <w:sz w:val="24"/>
        </w:rPr>
        <w:t>wa</w:t>
      </w:r>
      <w:r w:rsidR="008202FF">
        <w:rPr>
          <w:rFonts w:ascii="Times New Roman" w:hAnsi="Times New Roman" w:cs="Times New Roman"/>
          <w:sz w:val="24"/>
        </w:rPr>
        <w:t>s of</w:t>
      </w:r>
      <w:r w:rsidR="00C10EAB">
        <w:rPr>
          <w:rFonts w:ascii="Times New Roman" w:hAnsi="Times New Roman" w:cs="Times New Roman"/>
          <w:sz w:val="24"/>
        </w:rPr>
        <w:t xml:space="preserve"> the need for the queen to have strong male advisors to counsel her</w:t>
      </w:r>
      <w:r w:rsidR="00222A71">
        <w:rPr>
          <w:rFonts w:ascii="Times New Roman" w:hAnsi="Times New Roman" w:cs="Times New Roman"/>
          <w:sz w:val="24"/>
        </w:rPr>
        <w:t xml:space="preserve"> which, i</w:t>
      </w:r>
      <w:r w:rsidR="00B21C26">
        <w:rPr>
          <w:rFonts w:ascii="Times New Roman" w:hAnsi="Times New Roman" w:cs="Times New Roman"/>
          <w:sz w:val="24"/>
        </w:rPr>
        <w:t xml:space="preserve">n the </w:t>
      </w:r>
      <w:r w:rsidR="00C10EAB">
        <w:rPr>
          <w:rFonts w:ascii="Times New Roman" w:hAnsi="Times New Roman" w:cs="Times New Roman"/>
          <w:sz w:val="24"/>
        </w:rPr>
        <w:t xml:space="preserve">1590s, </w:t>
      </w:r>
      <w:r w:rsidR="00222A71">
        <w:rPr>
          <w:rFonts w:ascii="Times New Roman" w:hAnsi="Times New Roman" w:cs="Times New Roman"/>
          <w:sz w:val="24"/>
        </w:rPr>
        <w:t>was an</w:t>
      </w:r>
      <w:r w:rsidR="00B21C26">
        <w:rPr>
          <w:rFonts w:ascii="Times New Roman" w:hAnsi="Times New Roman" w:cs="Times New Roman"/>
          <w:sz w:val="24"/>
        </w:rPr>
        <w:t xml:space="preserve"> idea</w:t>
      </w:r>
      <w:r w:rsidR="00C10EAB">
        <w:rPr>
          <w:rFonts w:ascii="Times New Roman" w:hAnsi="Times New Roman" w:cs="Times New Roman"/>
          <w:sz w:val="24"/>
        </w:rPr>
        <w:t xml:space="preserve"> </w:t>
      </w:r>
      <w:r w:rsidR="00B21C26">
        <w:rPr>
          <w:rFonts w:ascii="Times New Roman" w:hAnsi="Times New Roman" w:cs="Times New Roman"/>
          <w:sz w:val="24"/>
        </w:rPr>
        <w:t>chiefly promoted by</w:t>
      </w:r>
      <w:r w:rsidR="00C10EAB">
        <w:rPr>
          <w:rFonts w:ascii="Times New Roman" w:hAnsi="Times New Roman" w:cs="Times New Roman"/>
          <w:sz w:val="24"/>
        </w:rPr>
        <w:t xml:space="preserve"> the Earl of Essex</w:t>
      </w:r>
      <w:r w:rsidR="00942699">
        <w:rPr>
          <w:rFonts w:ascii="Times New Roman" w:hAnsi="Times New Roman" w:cs="Times New Roman"/>
          <w:sz w:val="24"/>
        </w:rPr>
        <w:t xml:space="preserve"> to promote his military ambitions,</w:t>
      </w:r>
      <w:r w:rsidR="00C10EAB">
        <w:rPr>
          <w:rFonts w:ascii="Times New Roman" w:hAnsi="Times New Roman" w:cs="Times New Roman"/>
          <w:sz w:val="24"/>
        </w:rPr>
        <w:t xml:space="preserve"> as well as the Sidney circle </w:t>
      </w:r>
      <w:r w:rsidR="00AE1270">
        <w:rPr>
          <w:rFonts w:ascii="Times New Roman" w:hAnsi="Times New Roman" w:cs="Times New Roman"/>
          <w:sz w:val="24"/>
        </w:rPr>
        <w:t>in</w:t>
      </w:r>
      <w:r w:rsidR="00C10EAB">
        <w:rPr>
          <w:rFonts w:ascii="Times New Roman" w:hAnsi="Times New Roman" w:cs="Times New Roman"/>
          <w:sz w:val="24"/>
        </w:rPr>
        <w:t xml:space="preserve"> </w:t>
      </w:r>
      <w:r w:rsidR="00AE1270">
        <w:rPr>
          <w:rFonts w:ascii="Times New Roman" w:hAnsi="Times New Roman" w:cs="Times New Roman"/>
          <w:sz w:val="24"/>
        </w:rPr>
        <w:t>its</w:t>
      </w:r>
      <w:r w:rsidR="00C10EAB">
        <w:rPr>
          <w:rFonts w:ascii="Times New Roman" w:hAnsi="Times New Roman" w:cs="Times New Roman"/>
          <w:sz w:val="24"/>
        </w:rPr>
        <w:t xml:space="preserve"> attempt to shape </w:t>
      </w:r>
      <w:r w:rsidR="00AE1270">
        <w:rPr>
          <w:rFonts w:ascii="Times New Roman" w:hAnsi="Times New Roman" w:cs="Times New Roman"/>
          <w:sz w:val="24"/>
        </w:rPr>
        <w:t xml:space="preserve">Philip </w:t>
      </w:r>
      <w:r w:rsidR="00C10EAB">
        <w:rPr>
          <w:rFonts w:ascii="Times New Roman" w:hAnsi="Times New Roman" w:cs="Times New Roman"/>
          <w:sz w:val="24"/>
        </w:rPr>
        <w:t>Sidney’s chivalric legacy.</w:t>
      </w:r>
      <w:r w:rsidR="00EF6552">
        <w:rPr>
          <w:rStyle w:val="FootnoteReference"/>
          <w:rFonts w:ascii="Times New Roman" w:hAnsi="Times New Roman" w:cs="Times New Roman"/>
          <w:sz w:val="24"/>
        </w:rPr>
        <w:footnoteReference w:id="147"/>
      </w:r>
      <w:r w:rsidR="00C10EAB">
        <w:rPr>
          <w:rFonts w:ascii="Times New Roman" w:hAnsi="Times New Roman" w:cs="Times New Roman"/>
          <w:sz w:val="24"/>
        </w:rPr>
        <w:t xml:space="preserve"> It is no surprise, therefore, to find Sidney’s sister and the writer that she patronised, Samuel Daniel, </w:t>
      </w:r>
      <w:r w:rsidR="000C61E0">
        <w:rPr>
          <w:rFonts w:ascii="Times New Roman" w:hAnsi="Times New Roman" w:cs="Times New Roman"/>
          <w:sz w:val="24"/>
        </w:rPr>
        <w:t xml:space="preserve">translating and </w:t>
      </w:r>
      <w:r w:rsidR="00C10EAB">
        <w:rPr>
          <w:rFonts w:ascii="Times New Roman" w:hAnsi="Times New Roman" w:cs="Times New Roman"/>
          <w:sz w:val="24"/>
        </w:rPr>
        <w:t>writing plays about a queen who, even whilst being sympathetic, is seen to be making the politically wrong choices with regards to the nation as a whole.</w:t>
      </w:r>
      <w:r w:rsidR="005259B9">
        <w:rPr>
          <w:rStyle w:val="FootnoteReference"/>
          <w:rFonts w:ascii="Times New Roman" w:hAnsi="Times New Roman" w:cs="Times New Roman"/>
          <w:sz w:val="24"/>
        </w:rPr>
        <w:footnoteReference w:id="148"/>
      </w:r>
      <w:r w:rsidR="005259B9">
        <w:rPr>
          <w:rFonts w:ascii="Times New Roman" w:hAnsi="Times New Roman" w:cs="Times New Roman"/>
          <w:sz w:val="24"/>
        </w:rPr>
        <w:t xml:space="preserve"> </w:t>
      </w:r>
    </w:p>
    <w:p w14:paraId="2BA80D41" w14:textId="4D4FACAD" w:rsidR="00EA0854" w:rsidRDefault="00A413B9" w:rsidP="002D58FB">
      <w:pPr>
        <w:spacing w:line="240" w:lineRule="auto"/>
        <w:jc w:val="both"/>
        <w:rPr>
          <w:rFonts w:ascii="Times New Roman" w:hAnsi="Times New Roman" w:cs="Times New Roman"/>
          <w:sz w:val="24"/>
        </w:rPr>
      </w:pPr>
      <w:r>
        <w:rPr>
          <w:rFonts w:ascii="Times New Roman" w:hAnsi="Times New Roman" w:cs="Times New Roman"/>
          <w:sz w:val="24"/>
        </w:rPr>
        <w:t xml:space="preserve">Overall, therefore, whilst it remains impossible to draw generalized conclusions about the political intentions behind every play, a consistent portrayal of female virtue and its interaction with politics emerges. </w:t>
      </w:r>
      <w:r w:rsidR="00F61494">
        <w:rPr>
          <w:rFonts w:ascii="Times New Roman" w:hAnsi="Times New Roman" w:cs="Times New Roman"/>
          <w:sz w:val="24"/>
        </w:rPr>
        <w:t>Against</w:t>
      </w:r>
      <w:r>
        <w:rPr>
          <w:rFonts w:ascii="Times New Roman" w:hAnsi="Times New Roman" w:cs="Times New Roman"/>
          <w:sz w:val="24"/>
        </w:rPr>
        <w:t xml:space="preserve"> the background of deep discontent with Elizabeth’s rule in the long 1590s, authors both reflected and helped to shape t</w:t>
      </w:r>
      <w:r w:rsidR="0040533E">
        <w:rPr>
          <w:rFonts w:ascii="Times New Roman" w:hAnsi="Times New Roman" w:cs="Times New Roman"/>
          <w:sz w:val="24"/>
        </w:rPr>
        <w:t>he debate</w:t>
      </w:r>
      <w:r>
        <w:rPr>
          <w:rFonts w:ascii="Times New Roman" w:hAnsi="Times New Roman" w:cs="Times New Roman"/>
          <w:sz w:val="24"/>
        </w:rPr>
        <w:t xml:space="preserve"> through portrayals of female virtue which were obviously in conflict with how Elizabeth lived her life and, even more importantly, how the </w:t>
      </w:r>
      <w:r w:rsidRPr="00686993">
        <w:rPr>
          <w:rFonts w:ascii="Times New Roman" w:hAnsi="Times New Roman" w:cs="Times New Roman"/>
          <w:sz w:val="24"/>
        </w:rPr>
        <w:t>idea</w:t>
      </w:r>
      <w:r>
        <w:rPr>
          <w:rFonts w:ascii="Times New Roman" w:hAnsi="Times New Roman" w:cs="Times New Roman"/>
          <w:sz w:val="24"/>
        </w:rPr>
        <w:t xml:space="preserve"> of monarchical rule was conceptualised. In the end, despite Shakespeare’s more radical portrayal of Cleopatra, </w:t>
      </w:r>
      <w:r w:rsidR="008F6FFB">
        <w:rPr>
          <w:rFonts w:ascii="Times New Roman" w:hAnsi="Times New Roman" w:cs="Times New Roman"/>
          <w:sz w:val="24"/>
        </w:rPr>
        <w:t xml:space="preserve">it is perhaps unsurprisingly </w:t>
      </w:r>
      <w:r>
        <w:rPr>
          <w:rFonts w:ascii="Times New Roman" w:hAnsi="Times New Roman" w:cs="Times New Roman"/>
          <w:sz w:val="24"/>
        </w:rPr>
        <w:t>Sidney’s</w:t>
      </w:r>
      <w:r w:rsidR="008F6FFB">
        <w:rPr>
          <w:rFonts w:ascii="Times New Roman" w:hAnsi="Times New Roman" w:cs="Times New Roman"/>
          <w:sz w:val="24"/>
        </w:rPr>
        <w:t xml:space="preserve"> portrayal of her fellow woman which</w:t>
      </w:r>
      <w:r>
        <w:rPr>
          <w:rFonts w:ascii="Times New Roman" w:hAnsi="Times New Roman" w:cs="Times New Roman"/>
          <w:sz w:val="24"/>
        </w:rPr>
        <w:t xml:space="preserve"> </w:t>
      </w:r>
      <w:r w:rsidR="00FE7C0B">
        <w:rPr>
          <w:rFonts w:ascii="Times New Roman" w:hAnsi="Times New Roman" w:cs="Times New Roman"/>
          <w:sz w:val="24"/>
        </w:rPr>
        <w:t>rings truest</w:t>
      </w:r>
      <w:r>
        <w:rPr>
          <w:rFonts w:ascii="Times New Roman" w:hAnsi="Times New Roman" w:cs="Times New Roman"/>
          <w:sz w:val="24"/>
        </w:rPr>
        <w:t xml:space="preserve"> as the most understanding and insightful discussion of female rule: </w:t>
      </w:r>
      <w:r w:rsidR="008F6FFB">
        <w:rPr>
          <w:rFonts w:ascii="Times New Roman" w:hAnsi="Times New Roman" w:cs="Times New Roman"/>
          <w:sz w:val="24"/>
        </w:rPr>
        <w:t>Cleopatra’s everlasting love</w:t>
      </w:r>
      <w:r w:rsidR="00ED3DBF">
        <w:rPr>
          <w:rFonts w:ascii="Times New Roman" w:hAnsi="Times New Roman" w:cs="Times New Roman"/>
          <w:sz w:val="24"/>
        </w:rPr>
        <w:t>, the most valued virtue a woman can have, in the end</w:t>
      </w:r>
      <w:r w:rsidR="008F6FFB">
        <w:rPr>
          <w:rFonts w:ascii="Times New Roman" w:hAnsi="Times New Roman" w:cs="Times New Roman"/>
          <w:sz w:val="24"/>
        </w:rPr>
        <w:t xml:space="preserve"> helps no-one</w:t>
      </w:r>
      <w:r w:rsidR="00297FAA">
        <w:rPr>
          <w:rFonts w:ascii="Times New Roman" w:hAnsi="Times New Roman" w:cs="Times New Roman"/>
          <w:sz w:val="24"/>
        </w:rPr>
        <w:t xml:space="preserve"> and yet, without it, she would have been beyond redemption</w:t>
      </w:r>
      <w:r w:rsidR="00686993">
        <w:rPr>
          <w:rFonts w:ascii="Times New Roman" w:hAnsi="Times New Roman" w:cs="Times New Roman"/>
          <w:sz w:val="24"/>
        </w:rPr>
        <w:t>.</w:t>
      </w:r>
    </w:p>
    <w:p w14:paraId="43902857" w14:textId="77777777" w:rsidR="008D7135" w:rsidRDefault="008D7135" w:rsidP="00C043AA">
      <w:pPr>
        <w:spacing w:line="240" w:lineRule="auto"/>
        <w:jc w:val="both"/>
        <w:rPr>
          <w:rFonts w:ascii="Times New Roman" w:hAnsi="Times New Roman" w:cs="Times New Roman"/>
          <w:b/>
          <w:sz w:val="32"/>
        </w:rPr>
      </w:pPr>
    </w:p>
    <w:p w14:paraId="1DBDBCC7" w14:textId="77777777" w:rsidR="008D7135" w:rsidRDefault="008D7135" w:rsidP="00C043AA">
      <w:pPr>
        <w:spacing w:line="240" w:lineRule="auto"/>
        <w:jc w:val="both"/>
        <w:rPr>
          <w:rFonts w:ascii="Times New Roman" w:hAnsi="Times New Roman" w:cs="Times New Roman"/>
          <w:b/>
          <w:sz w:val="32"/>
        </w:rPr>
      </w:pPr>
    </w:p>
    <w:p w14:paraId="7C94F36C" w14:textId="77777777" w:rsidR="008D7135" w:rsidRDefault="008D7135" w:rsidP="00C043AA">
      <w:pPr>
        <w:spacing w:line="240" w:lineRule="auto"/>
        <w:jc w:val="both"/>
        <w:rPr>
          <w:rFonts w:ascii="Times New Roman" w:hAnsi="Times New Roman" w:cs="Times New Roman"/>
          <w:b/>
          <w:sz w:val="32"/>
        </w:rPr>
      </w:pPr>
    </w:p>
    <w:p w14:paraId="5F2DF6E1" w14:textId="77777777" w:rsidR="008D7135" w:rsidRDefault="008D7135" w:rsidP="00C043AA">
      <w:pPr>
        <w:spacing w:line="240" w:lineRule="auto"/>
        <w:jc w:val="both"/>
        <w:rPr>
          <w:rFonts w:ascii="Times New Roman" w:hAnsi="Times New Roman" w:cs="Times New Roman"/>
          <w:b/>
          <w:sz w:val="32"/>
        </w:rPr>
      </w:pPr>
    </w:p>
    <w:p w14:paraId="1D5B17FC" w14:textId="77777777" w:rsidR="008D7135" w:rsidRDefault="008D7135" w:rsidP="00C043AA">
      <w:pPr>
        <w:spacing w:line="240" w:lineRule="auto"/>
        <w:jc w:val="both"/>
        <w:rPr>
          <w:rFonts w:ascii="Times New Roman" w:hAnsi="Times New Roman" w:cs="Times New Roman"/>
          <w:b/>
          <w:sz w:val="32"/>
        </w:rPr>
      </w:pPr>
    </w:p>
    <w:p w14:paraId="720B30A4" w14:textId="77777777" w:rsidR="008D7135" w:rsidRDefault="008D7135" w:rsidP="00C043AA">
      <w:pPr>
        <w:spacing w:line="240" w:lineRule="auto"/>
        <w:jc w:val="both"/>
        <w:rPr>
          <w:rFonts w:ascii="Times New Roman" w:hAnsi="Times New Roman" w:cs="Times New Roman"/>
          <w:b/>
          <w:sz w:val="32"/>
        </w:rPr>
      </w:pPr>
    </w:p>
    <w:p w14:paraId="261BA12A" w14:textId="77777777" w:rsidR="008D7135" w:rsidRDefault="008D7135" w:rsidP="00C043AA">
      <w:pPr>
        <w:spacing w:line="240" w:lineRule="auto"/>
        <w:jc w:val="both"/>
        <w:rPr>
          <w:rFonts w:ascii="Times New Roman" w:hAnsi="Times New Roman" w:cs="Times New Roman"/>
          <w:b/>
          <w:sz w:val="32"/>
        </w:rPr>
      </w:pPr>
    </w:p>
    <w:p w14:paraId="765B5ADC" w14:textId="3255F16D" w:rsidR="00A901DD" w:rsidRPr="0017637C" w:rsidRDefault="00A901DD" w:rsidP="00C043AA">
      <w:pPr>
        <w:spacing w:line="240" w:lineRule="auto"/>
        <w:jc w:val="both"/>
        <w:rPr>
          <w:rFonts w:ascii="Times New Roman" w:hAnsi="Times New Roman" w:cs="Times New Roman"/>
          <w:b/>
          <w:sz w:val="28"/>
        </w:rPr>
      </w:pPr>
      <w:r w:rsidRPr="0017637C">
        <w:rPr>
          <w:rFonts w:ascii="Times New Roman" w:hAnsi="Times New Roman" w:cs="Times New Roman"/>
          <w:b/>
          <w:sz w:val="28"/>
        </w:rPr>
        <w:lastRenderedPageBreak/>
        <w:t xml:space="preserve">Bibliography </w:t>
      </w:r>
    </w:p>
    <w:p w14:paraId="29B9AE9F" w14:textId="77777777" w:rsidR="00A901DD" w:rsidRPr="0017637C" w:rsidRDefault="00A901DD" w:rsidP="00C043AA">
      <w:pPr>
        <w:spacing w:line="240" w:lineRule="auto"/>
        <w:jc w:val="both"/>
        <w:rPr>
          <w:rFonts w:ascii="Times New Roman" w:hAnsi="Times New Roman" w:cs="Times New Roman"/>
          <w:b/>
          <w:sz w:val="28"/>
        </w:rPr>
      </w:pPr>
      <w:r w:rsidRPr="0017637C">
        <w:rPr>
          <w:rFonts w:ascii="Times New Roman" w:hAnsi="Times New Roman" w:cs="Times New Roman"/>
          <w:b/>
          <w:iCs/>
          <w:color w:val="000000"/>
          <w:sz w:val="24"/>
          <w:szCs w:val="18"/>
        </w:rPr>
        <w:t>Primary Sources: Printed</w:t>
      </w:r>
    </w:p>
    <w:p w14:paraId="536CD79D" w14:textId="77777777" w:rsidR="00A901DD" w:rsidRPr="0017637C" w:rsidRDefault="00A901DD" w:rsidP="00F54F95">
      <w:pPr>
        <w:pStyle w:val="NormalWeb"/>
        <w:rPr>
          <w:color w:val="000000"/>
          <w:sz w:val="22"/>
          <w:szCs w:val="22"/>
        </w:rPr>
      </w:pPr>
      <w:r w:rsidRPr="0017637C">
        <w:rPr>
          <w:i/>
          <w:iCs/>
          <w:color w:val="000000"/>
          <w:sz w:val="22"/>
          <w:szCs w:val="22"/>
        </w:rPr>
        <w:t xml:space="preserve">The </w:t>
      </w:r>
      <w:proofErr w:type="spellStart"/>
      <w:r w:rsidRPr="0017637C">
        <w:rPr>
          <w:i/>
          <w:iCs/>
          <w:color w:val="000000"/>
          <w:sz w:val="22"/>
          <w:szCs w:val="22"/>
        </w:rPr>
        <w:t>tragedie</w:t>
      </w:r>
      <w:proofErr w:type="spellEnd"/>
      <w:r w:rsidRPr="0017637C">
        <w:rPr>
          <w:i/>
          <w:iCs/>
          <w:color w:val="000000"/>
          <w:sz w:val="22"/>
          <w:szCs w:val="22"/>
        </w:rPr>
        <w:t xml:space="preserve"> of </w:t>
      </w:r>
      <w:proofErr w:type="spellStart"/>
      <w:r w:rsidRPr="0017637C">
        <w:rPr>
          <w:i/>
          <w:iCs/>
          <w:color w:val="000000"/>
          <w:sz w:val="22"/>
          <w:szCs w:val="22"/>
        </w:rPr>
        <w:t>Cæsar</w:t>
      </w:r>
      <w:proofErr w:type="spellEnd"/>
      <w:r w:rsidRPr="0017637C">
        <w:rPr>
          <w:i/>
          <w:iCs/>
          <w:color w:val="000000"/>
          <w:sz w:val="22"/>
          <w:szCs w:val="22"/>
        </w:rPr>
        <w:t xml:space="preserve"> and Pompey or </w:t>
      </w:r>
      <w:proofErr w:type="spellStart"/>
      <w:r w:rsidRPr="0017637C">
        <w:rPr>
          <w:i/>
          <w:iCs/>
          <w:color w:val="000000"/>
          <w:sz w:val="22"/>
          <w:szCs w:val="22"/>
        </w:rPr>
        <w:t>Cæsars</w:t>
      </w:r>
      <w:proofErr w:type="spellEnd"/>
      <w:r w:rsidRPr="0017637C">
        <w:rPr>
          <w:i/>
          <w:iCs/>
          <w:color w:val="000000"/>
          <w:sz w:val="22"/>
          <w:szCs w:val="22"/>
        </w:rPr>
        <w:t xml:space="preserve"> </w:t>
      </w:r>
      <w:proofErr w:type="spellStart"/>
      <w:r w:rsidRPr="0017637C">
        <w:rPr>
          <w:i/>
          <w:iCs/>
          <w:color w:val="000000"/>
          <w:sz w:val="22"/>
          <w:szCs w:val="22"/>
        </w:rPr>
        <w:t>reuenge</w:t>
      </w:r>
      <w:proofErr w:type="spellEnd"/>
      <w:r w:rsidRPr="0017637C">
        <w:rPr>
          <w:color w:val="000000"/>
          <w:sz w:val="22"/>
          <w:szCs w:val="22"/>
        </w:rPr>
        <w:t xml:space="preserve"> (London, 1607), Early English Books Online (16 Dec. 2018)</w:t>
      </w:r>
      <w:bookmarkStart w:id="1" w:name="_GoBack"/>
      <w:bookmarkEnd w:id="1"/>
    </w:p>
    <w:p w14:paraId="11987150" w14:textId="77777777" w:rsidR="00A901DD" w:rsidRPr="0017637C" w:rsidRDefault="00A901DD" w:rsidP="00C043AA">
      <w:pPr>
        <w:pStyle w:val="NormalWeb"/>
        <w:rPr>
          <w:color w:val="000000"/>
          <w:sz w:val="22"/>
          <w:szCs w:val="22"/>
          <w:lang w:val="en-GB"/>
        </w:rPr>
      </w:pPr>
      <w:r w:rsidRPr="0017637C">
        <w:rPr>
          <w:sz w:val="22"/>
          <w:szCs w:val="22"/>
        </w:rPr>
        <w:t xml:space="preserve">Africanus, Leo, ‘Geographical History of Africa’ in L. </w:t>
      </w:r>
      <w:proofErr w:type="spellStart"/>
      <w:r w:rsidRPr="0017637C">
        <w:rPr>
          <w:sz w:val="22"/>
          <w:szCs w:val="22"/>
        </w:rPr>
        <w:t>Gowing</w:t>
      </w:r>
      <w:proofErr w:type="spellEnd"/>
      <w:r w:rsidRPr="0017637C">
        <w:rPr>
          <w:sz w:val="22"/>
          <w:szCs w:val="22"/>
        </w:rPr>
        <w:t xml:space="preserve"> (ed.), </w:t>
      </w:r>
      <w:r w:rsidRPr="0017637C">
        <w:rPr>
          <w:i/>
          <w:sz w:val="22"/>
          <w:szCs w:val="22"/>
        </w:rPr>
        <w:t>Gender Relations in Early Modern England</w:t>
      </w:r>
      <w:r w:rsidRPr="0017637C">
        <w:rPr>
          <w:sz w:val="22"/>
          <w:szCs w:val="22"/>
        </w:rPr>
        <w:t xml:space="preserve"> (Harlow, 2012), pp. 103-5</w:t>
      </w:r>
    </w:p>
    <w:p w14:paraId="203FC449" w14:textId="77777777" w:rsidR="00A901DD" w:rsidRPr="0017637C" w:rsidRDefault="00A901DD" w:rsidP="00C043AA">
      <w:pPr>
        <w:pStyle w:val="NormalWeb"/>
        <w:rPr>
          <w:color w:val="000000"/>
          <w:sz w:val="22"/>
          <w:szCs w:val="22"/>
          <w:lang w:val="en-GB"/>
        </w:rPr>
      </w:pPr>
      <w:proofErr w:type="spellStart"/>
      <w:r w:rsidRPr="0017637C">
        <w:rPr>
          <w:color w:val="000000"/>
          <w:sz w:val="22"/>
          <w:szCs w:val="22"/>
          <w:lang w:val="en-GB"/>
        </w:rPr>
        <w:t>Becon</w:t>
      </w:r>
      <w:proofErr w:type="spellEnd"/>
      <w:r w:rsidRPr="0017637C">
        <w:rPr>
          <w:color w:val="000000"/>
          <w:sz w:val="22"/>
          <w:szCs w:val="22"/>
          <w:lang w:val="en-GB"/>
        </w:rPr>
        <w:t xml:space="preserve">, Thomas, ‘Catechism’ in </w:t>
      </w:r>
      <w:r w:rsidRPr="0017637C">
        <w:rPr>
          <w:i/>
          <w:color w:val="000000"/>
          <w:sz w:val="22"/>
          <w:szCs w:val="22"/>
          <w:lang w:val="en-GB"/>
        </w:rPr>
        <w:t xml:space="preserve">The </w:t>
      </w:r>
      <w:proofErr w:type="spellStart"/>
      <w:r w:rsidRPr="0017637C">
        <w:rPr>
          <w:i/>
          <w:color w:val="000000"/>
          <w:sz w:val="22"/>
          <w:szCs w:val="22"/>
          <w:lang w:val="en-GB"/>
        </w:rPr>
        <w:t>Worckes</w:t>
      </w:r>
      <w:proofErr w:type="spellEnd"/>
      <w:r w:rsidRPr="0017637C">
        <w:rPr>
          <w:i/>
          <w:color w:val="000000"/>
          <w:sz w:val="22"/>
          <w:szCs w:val="22"/>
          <w:lang w:val="en-GB"/>
        </w:rPr>
        <w:t xml:space="preserve"> of Thomas </w:t>
      </w:r>
      <w:proofErr w:type="spellStart"/>
      <w:r w:rsidRPr="0017637C">
        <w:rPr>
          <w:i/>
          <w:color w:val="000000"/>
          <w:sz w:val="22"/>
          <w:szCs w:val="22"/>
          <w:lang w:val="en-GB"/>
        </w:rPr>
        <w:t>Becon</w:t>
      </w:r>
      <w:proofErr w:type="spellEnd"/>
      <w:r w:rsidRPr="0017637C">
        <w:rPr>
          <w:color w:val="000000"/>
          <w:sz w:val="22"/>
          <w:szCs w:val="22"/>
          <w:lang w:val="en-GB"/>
        </w:rPr>
        <w:t>, (London, 1564), Early English Books Online (15 Jan. 2019)</w:t>
      </w:r>
    </w:p>
    <w:p w14:paraId="4959DD2A" w14:textId="77777777" w:rsidR="00A901DD" w:rsidRPr="0017637C" w:rsidRDefault="00A901DD" w:rsidP="00C043AA">
      <w:pPr>
        <w:pStyle w:val="NormalWeb"/>
        <w:rPr>
          <w:sz w:val="22"/>
          <w:szCs w:val="22"/>
        </w:rPr>
      </w:pPr>
      <w:r w:rsidRPr="0017637C">
        <w:rPr>
          <w:sz w:val="22"/>
          <w:szCs w:val="22"/>
        </w:rPr>
        <w:t xml:space="preserve">Brandon, Samuel, </w:t>
      </w:r>
      <w:r w:rsidRPr="0017637C">
        <w:rPr>
          <w:i/>
          <w:sz w:val="22"/>
          <w:szCs w:val="22"/>
        </w:rPr>
        <w:t>The Virtuous Octavia</w:t>
      </w:r>
      <w:r w:rsidRPr="0017637C">
        <w:rPr>
          <w:sz w:val="22"/>
          <w:szCs w:val="22"/>
        </w:rPr>
        <w:t xml:space="preserve">, ed. R. B. </w:t>
      </w:r>
      <w:proofErr w:type="spellStart"/>
      <w:r w:rsidRPr="0017637C">
        <w:rPr>
          <w:sz w:val="22"/>
          <w:szCs w:val="22"/>
        </w:rPr>
        <w:t>McKerrow</w:t>
      </w:r>
      <w:proofErr w:type="spellEnd"/>
      <w:r w:rsidRPr="0017637C">
        <w:rPr>
          <w:sz w:val="22"/>
          <w:szCs w:val="22"/>
        </w:rPr>
        <w:t xml:space="preserve"> (Malone Society Reprints, Oxford University Press, 1909)</w:t>
      </w:r>
    </w:p>
    <w:p w14:paraId="17867A63" w14:textId="77777777" w:rsidR="00A901DD" w:rsidRPr="0017637C" w:rsidRDefault="00A901DD" w:rsidP="00C043AA">
      <w:pPr>
        <w:pStyle w:val="NormalWeb"/>
        <w:rPr>
          <w:sz w:val="22"/>
          <w:szCs w:val="22"/>
        </w:rPr>
      </w:pPr>
      <w:r w:rsidRPr="0017637C">
        <w:rPr>
          <w:color w:val="000000"/>
          <w:sz w:val="22"/>
          <w:szCs w:val="22"/>
        </w:rPr>
        <w:t xml:space="preserve">Castiglione, Baldassare, </w:t>
      </w:r>
      <w:r w:rsidRPr="0017637C">
        <w:rPr>
          <w:i/>
          <w:sz w:val="22"/>
          <w:szCs w:val="22"/>
        </w:rPr>
        <w:t xml:space="preserve">The </w:t>
      </w:r>
      <w:proofErr w:type="spellStart"/>
      <w:r w:rsidRPr="0017637C">
        <w:rPr>
          <w:i/>
          <w:sz w:val="22"/>
          <w:szCs w:val="22"/>
        </w:rPr>
        <w:t>courtyer</w:t>
      </w:r>
      <w:proofErr w:type="spellEnd"/>
      <w:r w:rsidRPr="0017637C">
        <w:rPr>
          <w:i/>
          <w:sz w:val="22"/>
          <w:szCs w:val="22"/>
        </w:rPr>
        <w:t xml:space="preserve"> of Count </w:t>
      </w:r>
      <w:proofErr w:type="spellStart"/>
      <w:r w:rsidRPr="0017637C">
        <w:rPr>
          <w:i/>
          <w:sz w:val="22"/>
          <w:szCs w:val="22"/>
        </w:rPr>
        <w:t>Baldessar</w:t>
      </w:r>
      <w:proofErr w:type="spellEnd"/>
      <w:r w:rsidRPr="0017637C">
        <w:rPr>
          <w:i/>
          <w:sz w:val="22"/>
          <w:szCs w:val="22"/>
        </w:rPr>
        <w:t xml:space="preserve"> </w:t>
      </w:r>
      <w:proofErr w:type="spellStart"/>
      <w:r w:rsidRPr="0017637C">
        <w:rPr>
          <w:i/>
          <w:sz w:val="22"/>
          <w:szCs w:val="22"/>
        </w:rPr>
        <w:t>Castilio</w:t>
      </w:r>
      <w:proofErr w:type="spellEnd"/>
      <w:r w:rsidRPr="0017637C">
        <w:rPr>
          <w:sz w:val="22"/>
          <w:szCs w:val="22"/>
        </w:rPr>
        <w:t xml:space="preserve">, trans. T. </w:t>
      </w:r>
      <w:proofErr w:type="spellStart"/>
      <w:r w:rsidRPr="0017637C">
        <w:rPr>
          <w:sz w:val="22"/>
          <w:szCs w:val="22"/>
        </w:rPr>
        <w:t>Hoby</w:t>
      </w:r>
      <w:proofErr w:type="spellEnd"/>
      <w:r w:rsidRPr="0017637C">
        <w:rPr>
          <w:sz w:val="22"/>
          <w:szCs w:val="22"/>
        </w:rPr>
        <w:t>, (London, 1561), Early English Books Online (21 Sep. 2018)</w:t>
      </w:r>
    </w:p>
    <w:p w14:paraId="1D11F18C" w14:textId="77777777" w:rsidR="00A901DD" w:rsidRPr="0017637C" w:rsidRDefault="00A901DD" w:rsidP="00C043AA">
      <w:pPr>
        <w:pStyle w:val="NormalWeb"/>
        <w:rPr>
          <w:sz w:val="22"/>
          <w:szCs w:val="22"/>
        </w:rPr>
      </w:pPr>
      <w:r w:rsidRPr="0017637C">
        <w:rPr>
          <w:sz w:val="22"/>
          <w:szCs w:val="22"/>
        </w:rPr>
        <w:t xml:space="preserve">Chapman, George, </w:t>
      </w:r>
      <w:r w:rsidRPr="0017637C">
        <w:rPr>
          <w:i/>
          <w:sz w:val="22"/>
          <w:szCs w:val="22"/>
        </w:rPr>
        <w:t>The Blind Beggar of Alexandria</w:t>
      </w:r>
      <w:r w:rsidRPr="0017637C">
        <w:rPr>
          <w:sz w:val="22"/>
          <w:szCs w:val="22"/>
        </w:rPr>
        <w:t>, ed. W. Greg (Malone Society Reprints, Oxford University Press, 1928)</w:t>
      </w:r>
    </w:p>
    <w:p w14:paraId="546C4992" w14:textId="77777777" w:rsidR="00A901DD" w:rsidRPr="0017637C" w:rsidRDefault="00A901DD" w:rsidP="00C043AA">
      <w:pPr>
        <w:pStyle w:val="NormalWeb"/>
        <w:rPr>
          <w:sz w:val="22"/>
          <w:szCs w:val="22"/>
        </w:rPr>
      </w:pPr>
      <w:r w:rsidRPr="0017637C">
        <w:rPr>
          <w:sz w:val="22"/>
          <w:szCs w:val="22"/>
        </w:rPr>
        <w:t xml:space="preserve">Cornwallis, William, </w:t>
      </w:r>
      <w:proofErr w:type="spellStart"/>
      <w:r w:rsidRPr="0017637C">
        <w:rPr>
          <w:i/>
          <w:sz w:val="22"/>
          <w:szCs w:val="22"/>
        </w:rPr>
        <w:t>Essayes</w:t>
      </w:r>
      <w:proofErr w:type="spellEnd"/>
      <w:r w:rsidRPr="0017637C">
        <w:rPr>
          <w:sz w:val="22"/>
          <w:szCs w:val="22"/>
        </w:rPr>
        <w:t>, ed. D.C. Allen (Baltimore, 1946)</w:t>
      </w:r>
    </w:p>
    <w:p w14:paraId="594F4B57" w14:textId="77777777" w:rsidR="00A901DD" w:rsidRPr="0017637C" w:rsidRDefault="00A901DD" w:rsidP="00C043AA">
      <w:pPr>
        <w:pStyle w:val="NormalWeb"/>
        <w:rPr>
          <w:sz w:val="22"/>
          <w:szCs w:val="22"/>
        </w:rPr>
      </w:pPr>
      <w:r w:rsidRPr="0017637C">
        <w:rPr>
          <w:sz w:val="22"/>
          <w:szCs w:val="22"/>
        </w:rPr>
        <w:t xml:space="preserve">Daniel. Samuel, </w:t>
      </w:r>
      <w:r w:rsidRPr="0017637C">
        <w:rPr>
          <w:i/>
          <w:sz w:val="22"/>
          <w:szCs w:val="22"/>
        </w:rPr>
        <w:t>Delia and Rosamond augmented. Cleopatra</w:t>
      </w:r>
      <w:r w:rsidRPr="0017637C">
        <w:rPr>
          <w:sz w:val="22"/>
          <w:szCs w:val="22"/>
        </w:rPr>
        <w:t xml:space="preserve"> (London, 1594), Early English Books Online (26 Sep. 2018)</w:t>
      </w:r>
    </w:p>
    <w:p w14:paraId="520A389F" w14:textId="77777777" w:rsidR="00A901DD" w:rsidRPr="0017637C" w:rsidRDefault="00A901DD" w:rsidP="00C043AA">
      <w:pPr>
        <w:pStyle w:val="NormalWeb"/>
        <w:rPr>
          <w:sz w:val="22"/>
          <w:szCs w:val="22"/>
        </w:rPr>
      </w:pPr>
      <w:proofErr w:type="spellStart"/>
      <w:r w:rsidRPr="0017637C">
        <w:rPr>
          <w:sz w:val="22"/>
          <w:szCs w:val="22"/>
        </w:rPr>
        <w:t>Dod</w:t>
      </w:r>
      <w:proofErr w:type="spellEnd"/>
      <w:r w:rsidRPr="0017637C">
        <w:rPr>
          <w:sz w:val="22"/>
          <w:szCs w:val="22"/>
        </w:rPr>
        <w:t xml:space="preserve">, John, and Cleaver, Robert, ‘A godly form of household government’ in K. </w:t>
      </w:r>
      <w:proofErr w:type="spellStart"/>
      <w:r w:rsidRPr="0017637C">
        <w:rPr>
          <w:sz w:val="22"/>
          <w:szCs w:val="22"/>
        </w:rPr>
        <w:t>Aughterson</w:t>
      </w:r>
      <w:proofErr w:type="spellEnd"/>
      <w:r w:rsidRPr="0017637C">
        <w:rPr>
          <w:sz w:val="22"/>
          <w:szCs w:val="22"/>
        </w:rPr>
        <w:t xml:space="preserve">, </w:t>
      </w:r>
      <w:r w:rsidRPr="0017637C">
        <w:rPr>
          <w:i/>
          <w:sz w:val="22"/>
          <w:szCs w:val="22"/>
        </w:rPr>
        <w:t>Renaissance Women: Constructions of Femininity in England</w:t>
      </w:r>
      <w:r w:rsidRPr="0017637C">
        <w:rPr>
          <w:sz w:val="22"/>
          <w:szCs w:val="22"/>
        </w:rPr>
        <w:t xml:space="preserve"> (London, 1995), pp. 79-82</w:t>
      </w:r>
    </w:p>
    <w:p w14:paraId="6D2B1ACE" w14:textId="77777777" w:rsidR="00A901DD" w:rsidRPr="0017637C" w:rsidRDefault="00A901DD" w:rsidP="00C043AA">
      <w:pPr>
        <w:pStyle w:val="NormalWeb"/>
        <w:rPr>
          <w:sz w:val="22"/>
          <w:szCs w:val="22"/>
        </w:rPr>
      </w:pPr>
      <w:r w:rsidRPr="0017637C">
        <w:rPr>
          <w:sz w:val="22"/>
          <w:szCs w:val="22"/>
        </w:rPr>
        <w:t xml:space="preserve">Elizabeth I, </w:t>
      </w:r>
      <w:r w:rsidRPr="0017637C">
        <w:rPr>
          <w:i/>
          <w:sz w:val="22"/>
          <w:szCs w:val="22"/>
        </w:rPr>
        <w:t>Elizabeth I: Collected Works</w:t>
      </w:r>
      <w:r w:rsidRPr="0017637C">
        <w:rPr>
          <w:sz w:val="22"/>
          <w:szCs w:val="22"/>
        </w:rPr>
        <w:t>, ed. L. Marcus, J. Mueller and M.B. Rose (Chicago, 2000)</w:t>
      </w:r>
    </w:p>
    <w:p w14:paraId="29B03205" w14:textId="77777777" w:rsidR="00A901DD" w:rsidRPr="0017637C" w:rsidRDefault="00A901DD" w:rsidP="00C043AA">
      <w:pPr>
        <w:pStyle w:val="NormalWeb"/>
        <w:rPr>
          <w:sz w:val="22"/>
          <w:szCs w:val="22"/>
        </w:rPr>
      </w:pPr>
      <w:r w:rsidRPr="0017637C">
        <w:rPr>
          <w:sz w:val="22"/>
          <w:szCs w:val="22"/>
        </w:rPr>
        <w:t xml:space="preserve">Elyot, Thomas, </w:t>
      </w:r>
      <w:r w:rsidRPr="0017637C">
        <w:rPr>
          <w:i/>
          <w:sz w:val="22"/>
          <w:szCs w:val="22"/>
        </w:rPr>
        <w:t>The Boke named The Governor</w:t>
      </w:r>
      <w:r w:rsidRPr="0017637C">
        <w:rPr>
          <w:sz w:val="22"/>
          <w:szCs w:val="22"/>
        </w:rPr>
        <w:t>, ed. S.E. Lehmberg (Everyman Library, London, 1962)</w:t>
      </w:r>
    </w:p>
    <w:p w14:paraId="677BB3EB" w14:textId="77777777" w:rsidR="00A901DD" w:rsidRPr="0017637C" w:rsidRDefault="00A901DD" w:rsidP="00C043AA">
      <w:pPr>
        <w:pStyle w:val="NormalWeb"/>
        <w:rPr>
          <w:sz w:val="22"/>
          <w:szCs w:val="22"/>
        </w:rPr>
      </w:pPr>
      <w:r w:rsidRPr="0017637C">
        <w:rPr>
          <w:sz w:val="22"/>
          <w:szCs w:val="22"/>
        </w:rPr>
        <w:t xml:space="preserve">Garnier, Robert, ‘Antonius’, trans. Mary Sidney in M. Belle and L. </w:t>
      </w:r>
      <w:proofErr w:type="spellStart"/>
      <w:r w:rsidRPr="0017637C">
        <w:rPr>
          <w:sz w:val="22"/>
          <w:szCs w:val="22"/>
        </w:rPr>
        <w:t>Cottegnies</w:t>
      </w:r>
      <w:proofErr w:type="spellEnd"/>
      <w:r w:rsidRPr="0017637C">
        <w:rPr>
          <w:sz w:val="22"/>
          <w:szCs w:val="22"/>
        </w:rPr>
        <w:t xml:space="preserve"> (ed.), </w:t>
      </w:r>
      <w:r w:rsidRPr="0017637C">
        <w:rPr>
          <w:i/>
          <w:sz w:val="22"/>
          <w:szCs w:val="22"/>
        </w:rPr>
        <w:t>Robert Garnier in Elizabethan England</w:t>
      </w:r>
      <w:r w:rsidRPr="0017637C">
        <w:rPr>
          <w:sz w:val="22"/>
          <w:szCs w:val="22"/>
        </w:rPr>
        <w:t xml:space="preserve"> (Cambridge, 2017), pp. 91-178</w:t>
      </w:r>
    </w:p>
    <w:p w14:paraId="0FB230DD" w14:textId="77777777" w:rsidR="00A901DD" w:rsidRPr="0017637C" w:rsidRDefault="00A901DD" w:rsidP="00C043AA">
      <w:pPr>
        <w:pStyle w:val="NormalWeb"/>
        <w:rPr>
          <w:sz w:val="22"/>
          <w:szCs w:val="22"/>
        </w:rPr>
      </w:pPr>
      <w:r w:rsidRPr="0017637C">
        <w:rPr>
          <w:sz w:val="22"/>
          <w:szCs w:val="22"/>
        </w:rPr>
        <w:t xml:space="preserve">Garnier, Robert, ‘Cornelia’, trans. Thomas Kyd in M. Belle and L. </w:t>
      </w:r>
      <w:proofErr w:type="spellStart"/>
      <w:r w:rsidRPr="0017637C">
        <w:rPr>
          <w:sz w:val="22"/>
          <w:szCs w:val="22"/>
        </w:rPr>
        <w:t>Cottegnies</w:t>
      </w:r>
      <w:proofErr w:type="spellEnd"/>
      <w:r w:rsidRPr="0017637C">
        <w:rPr>
          <w:sz w:val="22"/>
          <w:szCs w:val="22"/>
        </w:rPr>
        <w:t xml:space="preserve"> (ed.), </w:t>
      </w:r>
      <w:r w:rsidRPr="0017637C">
        <w:rPr>
          <w:i/>
          <w:sz w:val="22"/>
          <w:szCs w:val="22"/>
        </w:rPr>
        <w:t>Robert Garnier in Elizabethan England</w:t>
      </w:r>
      <w:r w:rsidRPr="0017637C">
        <w:rPr>
          <w:sz w:val="22"/>
          <w:szCs w:val="22"/>
        </w:rPr>
        <w:t xml:space="preserve"> (Cambridge, 2017), pp. 179-272</w:t>
      </w:r>
    </w:p>
    <w:p w14:paraId="420956BE" w14:textId="77777777" w:rsidR="00A901DD" w:rsidRPr="0017637C" w:rsidRDefault="00A901DD" w:rsidP="00C043AA">
      <w:pPr>
        <w:pStyle w:val="NormalWeb"/>
        <w:rPr>
          <w:sz w:val="22"/>
          <w:szCs w:val="22"/>
        </w:rPr>
      </w:pPr>
      <w:r w:rsidRPr="0017637C">
        <w:rPr>
          <w:sz w:val="22"/>
          <w:szCs w:val="22"/>
        </w:rPr>
        <w:t xml:space="preserve">Gouge, William, ‘Of </w:t>
      </w:r>
      <w:proofErr w:type="spellStart"/>
      <w:r w:rsidRPr="0017637C">
        <w:rPr>
          <w:sz w:val="22"/>
          <w:szCs w:val="22"/>
        </w:rPr>
        <w:t>domestical</w:t>
      </w:r>
      <w:proofErr w:type="spellEnd"/>
      <w:r w:rsidRPr="0017637C">
        <w:rPr>
          <w:sz w:val="22"/>
          <w:szCs w:val="22"/>
        </w:rPr>
        <w:t xml:space="preserve"> duties’ in K. </w:t>
      </w:r>
      <w:proofErr w:type="spellStart"/>
      <w:r w:rsidRPr="0017637C">
        <w:rPr>
          <w:sz w:val="22"/>
          <w:szCs w:val="22"/>
        </w:rPr>
        <w:t>Aughterson</w:t>
      </w:r>
      <w:proofErr w:type="spellEnd"/>
      <w:r w:rsidRPr="0017637C">
        <w:rPr>
          <w:sz w:val="22"/>
          <w:szCs w:val="22"/>
        </w:rPr>
        <w:t xml:space="preserve">, </w:t>
      </w:r>
      <w:r w:rsidRPr="0017637C">
        <w:rPr>
          <w:i/>
          <w:sz w:val="22"/>
          <w:szCs w:val="22"/>
        </w:rPr>
        <w:t>Renaissance Women: Constructions of Femininity in England</w:t>
      </w:r>
      <w:r w:rsidRPr="0017637C">
        <w:rPr>
          <w:sz w:val="22"/>
          <w:szCs w:val="22"/>
        </w:rPr>
        <w:t xml:space="preserve"> (London, 1995), pp. 89-95</w:t>
      </w:r>
    </w:p>
    <w:p w14:paraId="7B51834C" w14:textId="77777777" w:rsidR="00A901DD" w:rsidRPr="0017637C" w:rsidRDefault="00A901DD" w:rsidP="00C043AA">
      <w:pPr>
        <w:pStyle w:val="NormalWeb"/>
        <w:rPr>
          <w:sz w:val="22"/>
          <w:szCs w:val="22"/>
        </w:rPr>
      </w:pPr>
      <w:proofErr w:type="spellStart"/>
      <w:r w:rsidRPr="0017637C">
        <w:rPr>
          <w:sz w:val="22"/>
          <w:szCs w:val="22"/>
        </w:rPr>
        <w:t>Greville</w:t>
      </w:r>
      <w:proofErr w:type="spellEnd"/>
      <w:r w:rsidRPr="0017637C">
        <w:rPr>
          <w:sz w:val="22"/>
          <w:szCs w:val="22"/>
        </w:rPr>
        <w:t xml:space="preserve">, </w:t>
      </w:r>
      <w:proofErr w:type="spellStart"/>
      <w:r w:rsidRPr="0017637C">
        <w:rPr>
          <w:sz w:val="22"/>
          <w:szCs w:val="22"/>
        </w:rPr>
        <w:t>Fulke</w:t>
      </w:r>
      <w:proofErr w:type="spellEnd"/>
      <w:r w:rsidRPr="0017637C">
        <w:rPr>
          <w:sz w:val="22"/>
          <w:szCs w:val="22"/>
        </w:rPr>
        <w:t xml:space="preserve">, ‘A Dedication to Sir Philip Sidney’ in J. Gouws (ed.), </w:t>
      </w:r>
      <w:r w:rsidRPr="0017637C">
        <w:rPr>
          <w:i/>
          <w:sz w:val="22"/>
          <w:szCs w:val="22"/>
        </w:rPr>
        <w:t xml:space="preserve">The Prose Works of </w:t>
      </w:r>
      <w:proofErr w:type="spellStart"/>
      <w:r w:rsidRPr="0017637C">
        <w:rPr>
          <w:i/>
          <w:sz w:val="22"/>
          <w:szCs w:val="22"/>
        </w:rPr>
        <w:t>Fulke</w:t>
      </w:r>
      <w:proofErr w:type="spellEnd"/>
      <w:r w:rsidRPr="0017637C">
        <w:rPr>
          <w:i/>
          <w:sz w:val="22"/>
          <w:szCs w:val="22"/>
        </w:rPr>
        <w:t xml:space="preserve"> </w:t>
      </w:r>
      <w:proofErr w:type="spellStart"/>
      <w:r w:rsidRPr="0017637C">
        <w:rPr>
          <w:i/>
          <w:sz w:val="22"/>
          <w:szCs w:val="22"/>
        </w:rPr>
        <w:t>Greville</w:t>
      </w:r>
      <w:proofErr w:type="spellEnd"/>
      <w:r w:rsidRPr="0017637C">
        <w:rPr>
          <w:i/>
          <w:sz w:val="22"/>
          <w:szCs w:val="22"/>
        </w:rPr>
        <w:t>, Lord Brooke</w:t>
      </w:r>
      <w:r w:rsidRPr="0017637C">
        <w:rPr>
          <w:sz w:val="22"/>
          <w:szCs w:val="22"/>
        </w:rPr>
        <w:t xml:space="preserve"> (Oxford, 1986), pp. 3-136 </w:t>
      </w:r>
    </w:p>
    <w:p w14:paraId="0126F75F" w14:textId="77777777" w:rsidR="00A901DD" w:rsidRPr="0017637C" w:rsidRDefault="00A901DD" w:rsidP="00C043AA">
      <w:pPr>
        <w:pStyle w:val="NormalWeb"/>
        <w:rPr>
          <w:sz w:val="22"/>
          <w:szCs w:val="22"/>
        </w:rPr>
      </w:pPr>
      <w:r w:rsidRPr="0017637C">
        <w:rPr>
          <w:sz w:val="22"/>
          <w:szCs w:val="22"/>
        </w:rPr>
        <w:t xml:space="preserve">Jewel, John, ‘A homily of the state of matrimony’ in I. Archer and F.D. Price (ed.), </w:t>
      </w:r>
      <w:r w:rsidRPr="0017637C">
        <w:rPr>
          <w:i/>
          <w:sz w:val="22"/>
          <w:szCs w:val="22"/>
        </w:rPr>
        <w:t xml:space="preserve">English Historical Documents, Volume V (A): 1558-1603 </w:t>
      </w:r>
      <w:r w:rsidRPr="0017637C">
        <w:rPr>
          <w:sz w:val="22"/>
          <w:szCs w:val="22"/>
        </w:rPr>
        <w:t>(London, 2011), pp. 504-10</w:t>
      </w:r>
    </w:p>
    <w:p w14:paraId="4EEC9542" w14:textId="77777777" w:rsidR="00A901DD" w:rsidRPr="0017637C" w:rsidRDefault="00A901DD" w:rsidP="00C043AA">
      <w:pPr>
        <w:pStyle w:val="NormalWeb"/>
        <w:rPr>
          <w:sz w:val="22"/>
          <w:szCs w:val="22"/>
        </w:rPr>
      </w:pPr>
      <w:r w:rsidRPr="0017637C">
        <w:rPr>
          <w:sz w:val="22"/>
          <w:szCs w:val="22"/>
        </w:rPr>
        <w:t xml:space="preserve">Knox, John, </w:t>
      </w:r>
      <w:r w:rsidRPr="0017637C">
        <w:rPr>
          <w:i/>
          <w:sz w:val="22"/>
          <w:szCs w:val="22"/>
        </w:rPr>
        <w:t>The first blast of the trumpet against the monstrous regiment of women</w:t>
      </w:r>
      <w:r w:rsidRPr="0017637C">
        <w:rPr>
          <w:sz w:val="22"/>
          <w:szCs w:val="22"/>
        </w:rPr>
        <w:t>, (Geneva, 1558), Early English Books Online (19 Jan. 2019)</w:t>
      </w:r>
    </w:p>
    <w:p w14:paraId="6526E316" w14:textId="77777777" w:rsidR="00A901DD" w:rsidRPr="0017637C" w:rsidRDefault="00A901DD" w:rsidP="00C043AA">
      <w:pPr>
        <w:pStyle w:val="NormalWeb"/>
        <w:rPr>
          <w:sz w:val="22"/>
          <w:szCs w:val="22"/>
        </w:rPr>
      </w:pPr>
      <w:r w:rsidRPr="0017637C">
        <w:rPr>
          <w:sz w:val="22"/>
          <w:szCs w:val="22"/>
        </w:rPr>
        <w:lastRenderedPageBreak/>
        <w:t xml:space="preserve">Lipsius, Justus, </w:t>
      </w:r>
      <w:r w:rsidRPr="0017637C">
        <w:rPr>
          <w:i/>
          <w:sz w:val="22"/>
          <w:szCs w:val="22"/>
        </w:rPr>
        <w:t>On Constancy</w:t>
      </w:r>
      <w:r w:rsidRPr="0017637C">
        <w:rPr>
          <w:sz w:val="22"/>
          <w:szCs w:val="22"/>
        </w:rPr>
        <w:t xml:space="preserve"> trans. J. Stradling, ed. John Sellers (Exeter, 2006)</w:t>
      </w:r>
    </w:p>
    <w:p w14:paraId="1FE2ADB1" w14:textId="77777777" w:rsidR="00A901DD" w:rsidRPr="0017637C" w:rsidRDefault="00A901DD" w:rsidP="00C043AA">
      <w:pPr>
        <w:pStyle w:val="NormalWeb"/>
        <w:rPr>
          <w:sz w:val="22"/>
          <w:szCs w:val="22"/>
        </w:rPr>
      </w:pPr>
      <w:r w:rsidRPr="0017637C">
        <w:rPr>
          <w:color w:val="000000"/>
          <w:sz w:val="22"/>
          <w:szCs w:val="22"/>
        </w:rPr>
        <w:t xml:space="preserve">Lodge, Thomas, </w:t>
      </w:r>
      <w:r w:rsidRPr="0017637C">
        <w:rPr>
          <w:i/>
          <w:color w:val="000000"/>
          <w:sz w:val="22"/>
          <w:szCs w:val="22"/>
        </w:rPr>
        <w:t>The Wounds of the Civil War</w:t>
      </w:r>
      <w:r w:rsidRPr="0017637C">
        <w:rPr>
          <w:color w:val="000000"/>
          <w:sz w:val="22"/>
          <w:szCs w:val="22"/>
        </w:rPr>
        <w:t xml:space="preserve">, </w:t>
      </w:r>
      <w:r w:rsidRPr="0017637C">
        <w:rPr>
          <w:sz w:val="22"/>
          <w:szCs w:val="22"/>
        </w:rPr>
        <w:t xml:space="preserve">ed. J.W. </w:t>
      </w:r>
      <w:proofErr w:type="spellStart"/>
      <w:r w:rsidRPr="0017637C">
        <w:rPr>
          <w:sz w:val="22"/>
          <w:szCs w:val="22"/>
        </w:rPr>
        <w:t>Houppert</w:t>
      </w:r>
      <w:proofErr w:type="spellEnd"/>
      <w:r w:rsidRPr="0017637C">
        <w:rPr>
          <w:sz w:val="22"/>
          <w:szCs w:val="22"/>
        </w:rPr>
        <w:t xml:space="preserve"> (London, 1970)</w:t>
      </w:r>
    </w:p>
    <w:p w14:paraId="562E2BF4" w14:textId="77777777" w:rsidR="00A901DD" w:rsidRPr="0017637C" w:rsidRDefault="00A901DD" w:rsidP="00C043AA">
      <w:pPr>
        <w:pStyle w:val="NormalWeb"/>
        <w:rPr>
          <w:sz w:val="22"/>
          <w:szCs w:val="22"/>
        </w:rPr>
      </w:pPr>
      <w:r w:rsidRPr="0017637C">
        <w:rPr>
          <w:sz w:val="22"/>
          <w:szCs w:val="22"/>
        </w:rPr>
        <w:t xml:space="preserve">Marlowe, Christopher, ‘Dido, Queen of Carthage’ in J.B. </w:t>
      </w:r>
      <w:proofErr w:type="spellStart"/>
      <w:r w:rsidRPr="0017637C">
        <w:rPr>
          <w:sz w:val="22"/>
          <w:szCs w:val="22"/>
        </w:rPr>
        <w:t>Steane</w:t>
      </w:r>
      <w:proofErr w:type="spellEnd"/>
      <w:r w:rsidRPr="0017637C">
        <w:rPr>
          <w:sz w:val="22"/>
          <w:szCs w:val="22"/>
        </w:rPr>
        <w:t xml:space="preserve"> (ed.) </w:t>
      </w:r>
      <w:r w:rsidRPr="0017637C">
        <w:rPr>
          <w:i/>
          <w:sz w:val="22"/>
          <w:szCs w:val="22"/>
        </w:rPr>
        <w:t>The Complete Plays</w:t>
      </w:r>
      <w:r w:rsidRPr="0017637C">
        <w:rPr>
          <w:sz w:val="22"/>
          <w:szCs w:val="22"/>
        </w:rPr>
        <w:t xml:space="preserve"> (London, 1969)</w:t>
      </w:r>
    </w:p>
    <w:p w14:paraId="44590283" w14:textId="77777777" w:rsidR="00A901DD" w:rsidRPr="0017637C" w:rsidRDefault="00A901DD" w:rsidP="00C043AA">
      <w:pPr>
        <w:pStyle w:val="NormalWeb"/>
        <w:rPr>
          <w:sz w:val="22"/>
          <w:szCs w:val="22"/>
        </w:rPr>
      </w:pPr>
      <w:r w:rsidRPr="0017637C">
        <w:rPr>
          <w:sz w:val="22"/>
          <w:szCs w:val="22"/>
        </w:rPr>
        <w:t xml:space="preserve">de </w:t>
      </w:r>
      <w:proofErr w:type="spellStart"/>
      <w:r w:rsidRPr="0017637C">
        <w:rPr>
          <w:sz w:val="22"/>
          <w:szCs w:val="22"/>
        </w:rPr>
        <w:t>Mornay</w:t>
      </w:r>
      <w:proofErr w:type="spellEnd"/>
      <w:r w:rsidRPr="0017637C">
        <w:rPr>
          <w:sz w:val="22"/>
          <w:szCs w:val="22"/>
        </w:rPr>
        <w:t xml:space="preserve">, Philippe, ‘A Discourse of Life and Death’ trans. Mary Sidney, in M. P. </w:t>
      </w:r>
      <w:proofErr w:type="spellStart"/>
      <w:r w:rsidRPr="0017637C">
        <w:rPr>
          <w:sz w:val="22"/>
          <w:szCs w:val="22"/>
        </w:rPr>
        <w:t>Hannay</w:t>
      </w:r>
      <w:proofErr w:type="spellEnd"/>
      <w:r w:rsidRPr="0017637C">
        <w:rPr>
          <w:sz w:val="22"/>
          <w:szCs w:val="22"/>
        </w:rPr>
        <w:t xml:space="preserve">, N.J. </w:t>
      </w:r>
      <w:proofErr w:type="spellStart"/>
      <w:r w:rsidRPr="0017637C">
        <w:rPr>
          <w:sz w:val="22"/>
          <w:szCs w:val="22"/>
        </w:rPr>
        <w:t>Kinnamon</w:t>
      </w:r>
      <w:proofErr w:type="spellEnd"/>
      <w:r w:rsidRPr="0017637C">
        <w:rPr>
          <w:sz w:val="22"/>
          <w:szCs w:val="22"/>
        </w:rPr>
        <w:t xml:space="preserve"> and M. G. Brennan (ed.), </w:t>
      </w:r>
      <w:r w:rsidRPr="0017637C">
        <w:rPr>
          <w:i/>
          <w:sz w:val="22"/>
          <w:szCs w:val="22"/>
        </w:rPr>
        <w:t>The Collected Works of Mary Sidney Herbert, Countess of Pembroke: Volume I, Poems, Translations and Correspondence</w:t>
      </w:r>
      <w:r w:rsidRPr="0017637C">
        <w:rPr>
          <w:sz w:val="22"/>
          <w:szCs w:val="22"/>
        </w:rPr>
        <w:t xml:space="preserve"> (Oxford, 1998), pp. 229-54</w:t>
      </w:r>
    </w:p>
    <w:p w14:paraId="25C23162" w14:textId="77777777" w:rsidR="00A901DD" w:rsidRPr="0017637C" w:rsidRDefault="00A901DD" w:rsidP="00C043AA">
      <w:pPr>
        <w:pStyle w:val="NormalWeb"/>
        <w:rPr>
          <w:b/>
          <w:bCs/>
          <w:i/>
          <w:sz w:val="22"/>
          <w:szCs w:val="22"/>
          <w:lang w:val="en-GB"/>
        </w:rPr>
      </w:pPr>
      <w:r w:rsidRPr="0017637C">
        <w:rPr>
          <w:sz w:val="22"/>
          <w:szCs w:val="22"/>
        </w:rPr>
        <w:t xml:space="preserve">Plutarch, ‘Antonius’ trans. Thomas North in Thomas North (ed.), </w:t>
      </w:r>
      <w:r w:rsidRPr="0017637C">
        <w:rPr>
          <w:rStyle w:val="Hyperlink"/>
          <w:bCs/>
          <w:i/>
          <w:color w:val="auto"/>
          <w:sz w:val="22"/>
          <w:szCs w:val="22"/>
          <w:u w:val="none"/>
          <w:lang w:val="en-GB"/>
        </w:rPr>
        <w:t xml:space="preserve">The </w:t>
      </w:r>
      <w:proofErr w:type="spellStart"/>
      <w:r w:rsidRPr="0017637C">
        <w:rPr>
          <w:rStyle w:val="Hyperlink"/>
          <w:bCs/>
          <w:i/>
          <w:color w:val="auto"/>
          <w:sz w:val="22"/>
          <w:szCs w:val="22"/>
          <w:u w:val="none"/>
          <w:lang w:val="en-GB"/>
        </w:rPr>
        <w:t>liues</w:t>
      </w:r>
      <w:proofErr w:type="spellEnd"/>
      <w:r w:rsidRPr="0017637C">
        <w:rPr>
          <w:rStyle w:val="Hyperlink"/>
          <w:bCs/>
          <w:i/>
          <w:color w:val="auto"/>
          <w:sz w:val="22"/>
          <w:szCs w:val="22"/>
          <w:u w:val="none"/>
          <w:lang w:val="en-GB"/>
        </w:rPr>
        <w:t xml:space="preserve"> of the noble Grecians and </w:t>
      </w:r>
      <w:proofErr w:type="spellStart"/>
      <w:r w:rsidRPr="0017637C">
        <w:rPr>
          <w:rStyle w:val="Hyperlink"/>
          <w:bCs/>
          <w:i/>
          <w:color w:val="auto"/>
          <w:sz w:val="22"/>
          <w:szCs w:val="22"/>
          <w:u w:val="none"/>
          <w:lang w:val="en-GB"/>
        </w:rPr>
        <w:t>Romanes</w:t>
      </w:r>
      <w:proofErr w:type="spellEnd"/>
      <w:r w:rsidRPr="0017637C">
        <w:rPr>
          <w:rStyle w:val="Hyperlink"/>
          <w:bCs/>
          <w:i/>
          <w:color w:val="auto"/>
          <w:sz w:val="22"/>
          <w:szCs w:val="22"/>
          <w:u w:val="none"/>
          <w:lang w:val="en-GB"/>
        </w:rPr>
        <w:t xml:space="preserve">, compared together by that </w:t>
      </w:r>
      <w:proofErr w:type="spellStart"/>
      <w:r w:rsidRPr="0017637C">
        <w:rPr>
          <w:rStyle w:val="Hyperlink"/>
          <w:bCs/>
          <w:i/>
          <w:color w:val="auto"/>
          <w:sz w:val="22"/>
          <w:szCs w:val="22"/>
          <w:u w:val="none"/>
          <w:lang w:val="en-GB"/>
        </w:rPr>
        <w:t>graue</w:t>
      </w:r>
      <w:proofErr w:type="spellEnd"/>
      <w:r w:rsidRPr="0017637C">
        <w:rPr>
          <w:rStyle w:val="Hyperlink"/>
          <w:bCs/>
          <w:i/>
          <w:color w:val="auto"/>
          <w:sz w:val="22"/>
          <w:szCs w:val="22"/>
          <w:u w:val="none"/>
          <w:lang w:val="en-GB"/>
        </w:rPr>
        <w:t xml:space="preserve"> learned philosopher and historiographer, </w:t>
      </w:r>
      <w:proofErr w:type="spellStart"/>
      <w:r w:rsidRPr="0017637C">
        <w:rPr>
          <w:rStyle w:val="Hyperlink"/>
          <w:bCs/>
          <w:i/>
          <w:color w:val="auto"/>
          <w:sz w:val="22"/>
          <w:szCs w:val="22"/>
          <w:u w:val="none"/>
          <w:lang w:val="en-GB"/>
        </w:rPr>
        <w:t>Plutarke</w:t>
      </w:r>
      <w:proofErr w:type="spellEnd"/>
      <w:r w:rsidRPr="0017637C">
        <w:rPr>
          <w:rStyle w:val="Hyperlink"/>
          <w:bCs/>
          <w:i/>
          <w:color w:val="auto"/>
          <w:sz w:val="22"/>
          <w:szCs w:val="22"/>
          <w:u w:val="none"/>
          <w:lang w:val="en-GB"/>
        </w:rPr>
        <w:t xml:space="preserve"> of </w:t>
      </w:r>
      <w:proofErr w:type="spellStart"/>
      <w:r w:rsidRPr="0017637C">
        <w:rPr>
          <w:rStyle w:val="Hyperlink"/>
          <w:bCs/>
          <w:i/>
          <w:color w:val="auto"/>
          <w:sz w:val="22"/>
          <w:szCs w:val="22"/>
          <w:u w:val="none"/>
          <w:lang w:val="en-GB"/>
        </w:rPr>
        <w:t>Chæronea</w:t>
      </w:r>
      <w:proofErr w:type="spellEnd"/>
      <w:r w:rsidRPr="0017637C">
        <w:rPr>
          <w:sz w:val="22"/>
          <w:szCs w:val="22"/>
        </w:rPr>
        <w:t>, (London, 1579), pp. 970-1010</w:t>
      </w:r>
    </w:p>
    <w:p w14:paraId="25ED559E" w14:textId="77777777" w:rsidR="00A901DD" w:rsidRPr="0017637C" w:rsidRDefault="00A901DD" w:rsidP="00C043AA">
      <w:pPr>
        <w:pStyle w:val="NormalWeb"/>
        <w:rPr>
          <w:b/>
          <w:bCs/>
          <w:i/>
          <w:sz w:val="22"/>
          <w:szCs w:val="22"/>
          <w:lang w:val="en-GB"/>
        </w:rPr>
      </w:pPr>
      <w:r w:rsidRPr="0017637C">
        <w:rPr>
          <w:sz w:val="22"/>
          <w:szCs w:val="22"/>
        </w:rPr>
        <w:t xml:space="preserve">Plutarch, ‘Brutus’ trans. Thomas North in Thomas North (ed.), </w:t>
      </w:r>
      <w:r w:rsidRPr="0017637C">
        <w:rPr>
          <w:rStyle w:val="Hyperlink"/>
          <w:bCs/>
          <w:i/>
          <w:color w:val="auto"/>
          <w:sz w:val="22"/>
          <w:szCs w:val="22"/>
          <w:u w:val="none"/>
          <w:lang w:val="en-GB"/>
        </w:rPr>
        <w:t xml:space="preserve">The </w:t>
      </w:r>
      <w:proofErr w:type="spellStart"/>
      <w:r w:rsidRPr="0017637C">
        <w:rPr>
          <w:rStyle w:val="Hyperlink"/>
          <w:bCs/>
          <w:i/>
          <w:color w:val="auto"/>
          <w:sz w:val="22"/>
          <w:szCs w:val="22"/>
          <w:u w:val="none"/>
          <w:lang w:val="en-GB"/>
        </w:rPr>
        <w:t>liues</w:t>
      </w:r>
      <w:proofErr w:type="spellEnd"/>
      <w:r w:rsidRPr="0017637C">
        <w:rPr>
          <w:rStyle w:val="Hyperlink"/>
          <w:bCs/>
          <w:i/>
          <w:color w:val="auto"/>
          <w:sz w:val="22"/>
          <w:szCs w:val="22"/>
          <w:u w:val="none"/>
          <w:lang w:val="en-GB"/>
        </w:rPr>
        <w:t xml:space="preserve"> of the noble Grecians and </w:t>
      </w:r>
      <w:proofErr w:type="spellStart"/>
      <w:r w:rsidRPr="0017637C">
        <w:rPr>
          <w:rStyle w:val="Hyperlink"/>
          <w:bCs/>
          <w:i/>
          <w:color w:val="auto"/>
          <w:sz w:val="22"/>
          <w:szCs w:val="22"/>
          <w:u w:val="none"/>
          <w:lang w:val="en-GB"/>
        </w:rPr>
        <w:t>Romanes</w:t>
      </w:r>
      <w:proofErr w:type="spellEnd"/>
      <w:r w:rsidRPr="0017637C">
        <w:rPr>
          <w:rStyle w:val="Hyperlink"/>
          <w:bCs/>
          <w:i/>
          <w:color w:val="auto"/>
          <w:sz w:val="22"/>
          <w:szCs w:val="22"/>
          <w:u w:val="none"/>
          <w:lang w:val="en-GB"/>
        </w:rPr>
        <w:t xml:space="preserve">, compared together by that </w:t>
      </w:r>
      <w:proofErr w:type="spellStart"/>
      <w:r w:rsidRPr="0017637C">
        <w:rPr>
          <w:rStyle w:val="Hyperlink"/>
          <w:bCs/>
          <w:i/>
          <w:color w:val="auto"/>
          <w:sz w:val="22"/>
          <w:szCs w:val="22"/>
          <w:u w:val="none"/>
          <w:lang w:val="en-GB"/>
        </w:rPr>
        <w:t>graue</w:t>
      </w:r>
      <w:proofErr w:type="spellEnd"/>
      <w:r w:rsidRPr="0017637C">
        <w:rPr>
          <w:rStyle w:val="Hyperlink"/>
          <w:bCs/>
          <w:i/>
          <w:color w:val="auto"/>
          <w:sz w:val="22"/>
          <w:szCs w:val="22"/>
          <w:u w:val="none"/>
          <w:lang w:val="en-GB"/>
        </w:rPr>
        <w:t xml:space="preserve"> learned philosopher and historiographer, </w:t>
      </w:r>
      <w:proofErr w:type="spellStart"/>
      <w:r w:rsidRPr="0017637C">
        <w:rPr>
          <w:rStyle w:val="Hyperlink"/>
          <w:bCs/>
          <w:i/>
          <w:color w:val="auto"/>
          <w:sz w:val="22"/>
          <w:szCs w:val="22"/>
          <w:u w:val="none"/>
          <w:lang w:val="en-GB"/>
        </w:rPr>
        <w:t>Plutarke</w:t>
      </w:r>
      <w:proofErr w:type="spellEnd"/>
      <w:r w:rsidRPr="0017637C">
        <w:rPr>
          <w:rStyle w:val="Hyperlink"/>
          <w:bCs/>
          <w:i/>
          <w:color w:val="auto"/>
          <w:sz w:val="22"/>
          <w:szCs w:val="22"/>
          <w:u w:val="none"/>
          <w:lang w:val="en-GB"/>
        </w:rPr>
        <w:t xml:space="preserve"> of </w:t>
      </w:r>
      <w:proofErr w:type="spellStart"/>
      <w:r w:rsidRPr="0017637C">
        <w:rPr>
          <w:rStyle w:val="Hyperlink"/>
          <w:bCs/>
          <w:i/>
          <w:color w:val="auto"/>
          <w:sz w:val="22"/>
          <w:szCs w:val="22"/>
          <w:u w:val="none"/>
          <w:lang w:val="en-GB"/>
        </w:rPr>
        <w:t>Chæronea</w:t>
      </w:r>
      <w:proofErr w:type="spellEnd"/>
      <w:r w:rsidRPr="0017637C">
        <w:rPr>
          <w:sz w:val="22"/>
          <w:szCs w:val="22"/>
        </w:rPr>
        <w:t>, (London, 1579), pp. 1055-80</w:t>
      </w:r>
    </w:p>
    <w:p w14:paraId="1CFA6026" w14:textId="77777777" w:rsidR="00A901DD" w:rsidRPr="0017637C" w:rsidRDefault="00A901DD" w:rsidP="00C043AA">
      <w:pPr>
        <w:pStyle w:val="NormalWeb"/>
        <w:rPr>
          <w:color w:val="000000"/>
          <w:sz w:val="22"/>
          <w:szCs w:val="22"/>
          <w:lang w:val="en-GB"/>
        </w:rPr>
      </w:pPr>
      <w:r w:rsidRPr="0017637C">
        <w:rPr>
          <w:color w:val="000000"/>
          <w:sz w:val="22"/>
          <w:szCs w:val="22"/>
          <w:lang w:val="en-GB"/>
        </w:rPr>
        <w:t xml:space="preserve">Rowlands, Samuel, </w:t>
      </w:r>
      <w:r w:rsidRPr="0017637C">
        <w:rPr>
          <w:i/>
          <w:color w:val="000000"/>
          <w:sz w:val="22"/>
          <w:szCs w:val="22"/>
          <w:lang w:val="en-GB"/>
        </w:rPr>
        <w:t>The Bride</w:t>
      </w:r>
      <w:r w:rsidRPr="0017637C">
        <w:rPr>
          <w:color w:val="000000"/>
          <w:sz w:val="22"/>
          <w:szCs w:val="22"/>
          <w:lang w:val="en-GB"/>
        </w:rPr>
        <w:t xml:space="preserve"> (London, 1617), Early English Books Online (17 Jan 2019)</w:t>
      </w:r>
    </w:p>
    <w:p w14:paraId="6633C193" w14:textId="6CE4FDD4" w:rsidR="00A901DD" w:rsidRPr="0017637C" w:rsidRDefault="00A901DD" w:rsidP="00C043AA">
      <w:pPr>
        <w:pStyle w:val="NormalWeb"/>
        <w:rPr>
          <w:color w:val="000000"/>
          <w:sz w:val="22"/>
          <w:szCs w:val="22"/>
        </w:rPr>
      </w:pPr>
      <w:r w:rsidRPr="0017637C">
        <w:rPr>
          <w:color w:val="000000"/>
          <w:sz w:val="22"/>
          <w:szCs w:val="22"/>
        </w:rPr>
        <w:t xml:space="preserve">Savile, Henry, </w:t>
      </w:r>
      <w:r w:rsidRPr="0017637C">
        <w:rPr>
          <w:i/>
          <w:color w:val="000000"/>
          <w:sz w:val="22"/>
          <w:szCs w:val="22"/>
        </w:rPr>
        <w:t xml:space="preserve">The Ende of Nero and Beginning of Galba: </w:t>
      </w:r>
      <w:proofErr w:type="spellStart"/>
      <w:r w:rsidRPr="0017637C">
        <w:rPr>
          <w:i/>
          <w:color w:val="000000"/>
          <w:sz w:val="22"/>
          <w:szCs w:val="22"/>
        </w:rPr>
        <w:t>Fower</w:t>
      </w:r>
      <w:proofErr w:type="spellEnd"/>
      <w:r w:rsidRPr="0017637C">
        <w:rPr>
          <w:i/>
          <w:color w:val="000000"/>
          <w:sz w:val="22"/>
          <w:szCs w:val="22"/>
        </w:rPr>
        <w:t xml:space="preserve"> </w:t>
      </w:r>
      <w:proofErr w:type="spellStart"/>
      <w:r w:rsidRPr="0017637C">
        <w:rPr>
          <w:i/>
          <w:color w:val="000000"/>
          <w:sz w:val="22"/>
          <w:szCs w:val="22"/>
        </w:rPr>
        <w:t>bookes</w:t>
      </w:r>
      <w:proofErr w:type="spellEnd"/>
      <w:r w:rsidRPr="0017637C">
        <w:rPr>
          <w:i/>
          <w:color w:val="000000"/>
          <w:sz w:val="22"/>
          <w:szCs w:val="22"/>
        </w:rPr>
        <w:t xml:space="preserve"> of the Histories of Cornelius Tacitus</w:t>
      </w:r>
      <w:r w:rsidRPr="0017637C">
        <w:rPr>
          <w:color w:val="000000"/>
          <w:sz w:val="22"/>
          <w:szCs w:val="22"/>
        </w:rPr>
        <w:t xml:space="preserve"> (Oxford, 1591), Early English Books Online (20 Sep. 2018)</w:t>
      </w:r>
    </w:p>
    <w:p w14:paraId="6A9616E4" w14:textId="77777777" w:rsidR="00A901DD" w:rsidRPr="0017637C" w:rsidRDefault="00A901DD" w:rsidP="00C043AA">
      <w:pPr>
        <w:pStyle w:val="NormalWeb"/>
        <w:rPr>
          <w:color w:val="000000"/>
          <w:sz w:val="22"/>
          <w:szCs w:val="22"/>
        </w:rPr>
      </w:pPr>
      <w:r w:rsidRPr="0017637C">
        <w:rPr>
          <w:sz w:val="22"/>
          <w:szCs w:val="22"/>
        </w:rPr>
        <w:t xml:space="preserve">Shakespeare, William, </w:t>
      </w:r>
      <w:r w:rsidRPr="0017637C">
        <w:rPr>
          <w:i/>
          <w:sz w:val="22"/>
          <w:szCs w:val="22"/>
        </w:rPr>
        <w:t>Antony and Cleopatra</w:t>
      </w:r>
      <w:r w:rsidRPr="0017637C">
        <w:rPr>
          <w:sz w:val="22"/>
          <w:szCs w:val="22"/>
        </w:rPr>
        <w:t>, ed. Michael Neil (Oxford, 2008)</w:t>
      </w:r>
    </w:p>
    <w:p w14:paraId="1AF917A6" w14:textId="77777777" w:rsidR="00A901DD" w:rsidRPr="0017637C" w:rsidRDefault="00A901DD" w:rsidP="00C043AA">
      <w:pPr>
        <w:pStyle w:val="NormalWeb"/>
        <w:rPr>
          <w:color w:val="000000"/>
          <w:sz w:val="22"/>
          <w:szCs w:val="22"/>
        </w:rPr>
      </w:pPr>
      <w:r w:rsidRPr="0017637C">
        <w:rPr>
          <w:sz w:val="22"/>
          <w:szCs w:val="22"/>
        </w:rPr>
        <w:t xml:space="preserve">Shakespeare, William, </w:t>
      </w:r>
      <w:r w:rsidRPr="0017637C">
        <w:rPr>
          <w:i/>
          <w:sz w:val="22"/>
          <w:szCs w:val="22"/>
        </w:rPr>
        <w:t>Julius Caesar</w:t>
      </w:r>
      <w:r w:rsidRPr="0017637C">
        <w:rPr>
          <w:sz w:val="22"/>
          <w:szCs w:val="22"/>
        </w:rPr>
        <w:t xml:space="preserve">, ed. Marvin </w:t>
      </w:r>
      <w:proofErr w:type="spellStart"/>
      <w:r w:rsidRPr="0017637C">
        <w:rPr>
          <w:sz w:val="22"/>
          <w:szCs w:val="22"/>
        </w:rPr>
        <w:t>Spevack</w:t>
      </w:r>
      <w:proofErr w:type="spellEnd"/>
      <w:r w:rsidRPr="0017637C">
        <w:rPr>
          <w:sz w:val="22"/>
          <w:szCs w:val="22"/>
        </w:rPr>
        <w:t xml:space="preserve"> (Cambridge, 2004)</w:t>
      </w:r>
    </w:p>
    <w:p w14:paraId="610D0794" w14:textId="77777777" w:rsidR="00A901DD" w:rsidRPr="0017637C" w:rsidRDefault="00A901DD" w:rsidP="00C043AA">
      <w:pPr>
        <w:pStyle w:val="NormalWeb"/>
        <w:rPr>
          <w:sz w:val="22"/>
          <w:szCs w:val="22"/>
        </w:rPr>
      </w:pPr>
      <w:r w:rsidRPr="0017637C">
        <w:rPr>
          <w:sz w:val="22"/>
          <w:szCs w:val="22"/>
        </w:rPr>
        <w:t>Sidney, Mary, ‘</w:t>
      </w:r>
      <w:proofErr w:type="spellStart"/>
      <w:r w:rsidRPr="0017637C">
        <w:rPr>
          <w:sz w:val="22"/>
          <w:szCs w:val="22"/>
        </w:rPr>
        <w:t>Astrea</w:t>
      </w:r>
      <w:proofErr w:type="spellEnd"/>
      <w:r w:rsidRPr="0017637C">
        <w:rPr>
          <w:sz w:val="22"/>
          <w:szCs w:val="22"/>
        </w:rPr>
        <w:t xml:space="preserve">’ in M. P. </w:t>
      </w:r>
      <w:proofErr w:type="spellStart"/>
      <w:r w:rsidRPr="0017637C">
        <w:rPr>
          <w:sz w:val="22"/>
          <w:szCs w:val="22"/>
        </w:rPr>
        <w:t>Hannay</w:t>
      </w:r>
      <w:proofErr w:type="spellEnd"/>
      <w:r w:rsidRPr="0017637C">
        <w:rPr>
          <w:sz w:val="22"/>
          <w:szCs w:val="22"/>
        </w:rPr>
        <w:t xml:space="preserve">, N.J. </w:t>
      </w:r>
      <w:proofErr w:type="spellStart"/>
      <w:r w:rsidRPr="0017637C">
        <w:rPr>
          <w:sz w:val="22"/>
          <w:szCs w:val="22"/>
        </w:rPr>
        <w:t>Kinnamon</w:t>
      </w:r>
      <w:proofErr w:type="spellEnd"/>
      <w:r w:rsidRPr="0017637C">
        <w:rPr>
          <w:sz w:val="22"/>
          <w:szCs w:val="22"/>
        </w:rPr>
        <w:t xml:space="preserve"> and M. G. Brennan (ed.), </w:t>
      </w:r>
      <w:r w:rsidRPr="0017637C">
        <w:rPr>
          <w:i/>
          <w:sz w:val="22"/>
          <w:szCs w:val="22"/>
        </w:rPr>
        <w:t>The Collected Works of Mary Sidney Herbert, Countess of Pembroke: Volume I, Poems, Translations and Correspondence</w:t>
      </w:r>
      <w:r w:rsidRPr="0017637C">
        <w:rPr>
          <w:sz w:val="22"/>
          <w:szCs w:val="22"/>
        </w:rPr>
        <w:t xml:space="preserve"> (Oxford, 1998), pp. 89-91</w:t>
      </w:r>
    </w:p>
    <w:p w14:paraId="4BE8B585" w14:textId="77777777" w:rsidR="00A901DD" w:rsidRPr="0017637C" w:rsidRDefault="00A901DD" w:rsidP="00C043AA">
      <w:pPr>
        <w:pStyle w:val="NormalWeb"/>
        <w:rPr>
          <w:sz w:val="22"/>
          <w:szCs w:val="22"/>
        </w:rPr>
      </w:pPr>
      <w:r w:rsidRPr="0017637C">
        <w:rPr>
          <w:sz w:val="22"/>
          <w:szCs w:val="22"/>
        </w:rPr>
        <w:t xml:space="preserve">Sidney, Mary, ‘Even now that Care’ in M. P. </w:t>
      </w:r>
      <w:proofErr w:type="spellStart"/>
      <w:r w:rsidRPr="0017637C">
        <w:rPr>
          <w:sz w:val="22"/>
          <w:szCs w:val="22"/>
        </w:rPr>
        <w:t>Hannay</w:t>
      </w:r>
      <w:proofErr w:type="spellEnd"/>
      <w:r w:rsidRPr="0017637C">
        <w:rPr>
          <w:sz w:val="22"/>
          <w:szCs w:val="22"/>
        </w:rPr>
        <w:t xml:space="preserve">, N.J. </w:t>
      </w:r>
      <w:proofErr w:type="spellStart"/>
      <w:r w:rsidRPr="0017637C">
        <w:rPr>
          <w:sz w:val="22"/>
          <w:szCs w:val="22"/>
        </w:rPr>
        <w:t>Kinnamon</w:t>
      </w:r>
      <w:proofErr w:type="spellEnd"/>
      <w:r w:rsidRPr="0017637C">
        <w:rPr>
          <w:sz w:val="22"/>
          <w:szCs w:val="22"/>
        </w:rPr>
        <w:t xml:space="preserve"> and M. G. Brennan (ed.), </w:t>
      </w:r>
      <w:r w:rsidRPr="0017637C">
        <w:rPr>
          <w:i/>
          <w:sz w:val="22"/>
          <w:szCs w:val="22"/>
        </w:rPr>
        <w:t>The Collected Works of Mary Sidney Herbert, Countess of Pembroke: Volume I, Poems, Translations and Correspondence</w:t>
      </w:r>
      <w:r w:rsidRPr="0017637C">
        <w:rPr>
          <w:sz w:val="22"/>
          <w:szCs w:val="22"/>
        </w:rPr>
        <w:t xml:space="preserve"> (Oxford, 1998), pp. 102-4</w:t>
      </w:r>
    </w:p>
    <w:p w14:paraId="398899B7" w14:textId="77777777" w:rsidR="00A901DD" w:rsidRPr="0017637C" w:rsidRDefault="00A901DD" w:rsidP="00C043AA">
      <w:pPr>
        <w:pStyle w:val="NormalWeb"/>
        <w:rPr>
          <w:color w:val="000000"/>
          <w:sz w:val="22"/>
          <w:szCs w:val="22"/>
          <w:lang w:val="en-GB"/>
        </w:rPr>
      </w:pPr>
      <w:r w:rsidRPr="0017637C">
        <w:rPr>
          <w:color w:val="000000"/>
          <w:sz w:val="22"/>
          <w:szCs w:val="22"/>
          <w:lang w:val="en-GB"/>
        </w:rPr>
        <w:t xml:space="preserve">Smith, Henry, </w:t>
      </w:r>
      <w:r w:rsidRPr="0017637C">
        <w:rPr>
          <w:i/>
          <w:color w:val="000000"/>
          <w:sz w:val="22"/>
          <w:szCs w:val="22"/>
          <w:lang w:val="en-GB"/>
        </w:rPr>
        <w:t>A Preparative to Marriage</w:t>
      </w:r>
      <w:r w:rsidRPr="0017637C">
        <w:rPr>
          <w:color w:val="000000"/>
          <w:sz w:val="22"/>
          <w:szCs w:val="22"/>
          <w:lang w:val="en-GB"/>
        </w:rPr>
        <w:t xml:space="preserve"> (London, 1591), Early English Books Online (20 Jan. 2019)</w:t>
      </w:r>
    </w:p>
    <w:p w14:paraId="487DD89F" w14:textId="77777777" w:rsidR="00A901DD" w:rsidRPr="0017637C" w:rsidRDefault="00A901DD" w:rsidP="00C043AA">
      <w:pPr>
        <w:pStyle w:val="NormalWeb"/>
        <w:rPr>
          <w:color w:val="000000"/>
          <w:sz w:val="22"/>
          <w:szCs w:val="22"/>
          <w:lang w:val="en-GB"/>
        </w:rPr>
      </w:pPr>
      <w:proofErr w:type="spellStart"/>
      <w:r w:rsidRPr="0017637C">
        <w:rPr>
          <w:sz w:val="22"/>
          <w:szCs w:val="22"/>
        </w:rPr>
        <w:t>Vives</w:t>
      </w:r>
      <w:proofErr w:type="spellEnd"/>
      <w:r w:rsidRPr="0017637C">
        <w:rPr>
          <w:sz w:val="22"/>
          <w:szCs w:val="22"/>
        </w:rPr>
        <w:t xml:space="preserve">, Juan, </w:t>
      </w:r>
      <w:r w:rsidRPr="0017637C">
        <w:rPr>
          <w:i/>
          <w:sz w:val="22"/>
          <w:szCs w:val="22"/>
        </w:rPr>
        <w:t>The Instruction of a Christen Woman</w:t>
      </w:r>
      <w:r w:rsidRPr="0017637C">
        <w:rPr>
          <w:sz w:val="22"/>
          <w:szCs w:val="22"/>
        </w:rPr>
        <w:t xml:space="preserve">, trans. Richard </w:t>
      </w:r>
      <w:proofErr w:type="spellStart"/>
      <w:r w:rsidRPr="0017637C">
        <w:rPr>
          <w:sz w:val="22"/>
          <w:szCs w:val="22"/>
        </w:rPr>
        <w:t>Hyrde</w:t>
      </w:r>
      <w:proofErr w:type="spellEnd"/>
      <w:r w:rsidRPr="0017637C">
        <w:rPr>
          <w:sz w:val="22"/>
          <w:szCs w:val="22"/>
        </w:rPr>
        <w:t xml:space="preserve"> (London, 1541), Early Modern Books Online (2 Feb. 2019)</w:t>
      </w:r>
    </w:p>
    <w:p w14:paraId="1EEC2F1E" w14:textId="77777777" w:rsidR="00A901DD" w:rsidRPr="0017637C" w:rsidRDefault="00A901DD" w:rsidP="00C043AA">
      <w:pPr>
        <w:pStyle w:val="NormalWeb"/>
        <w:rPr>
          <w:color w:val="000000"/>
          <w:sz w:val="22"/>
          <w:szCs w:val="22"/>
        </w:rPr>
      </w:pPr>
      <w:r w:rsidRPr="0017637C">
        <w:rPr>
          <w:color w:val="000000"/>
          <w:sz w:val="22"/>
          <w:szCs w:val="22"/>
        </w:rPr>
        <w:t xml:space="preserve">Whetstone, George, </w:t>
      </w:r>
      <w:r w:rsidRPr="0017637C">
        <w:rPr>
          <w:i/>
          <w:color w:val="000000"/>
          <w:sz w:val="22"/>
          <w:szCs w:val="22"/>
        </w:rPr>
        <w:t>Sir Philip Sidney: his honorable life, his valiant death</w:t>
      </w:r>
      <w:r w:rsidRPr="0017637C">
        <w:rPr>
          <w:color w:val="000000"/>
          <w:sz w:val="22"/>
          <w:szCs w:val="22"/>
        </w:rPr>
        <w:t xml:space="preserve"> (London, 1587), Early English Books Online (15 Sep. 2018)</w:t>
      </w:r>
    </w:p>
    <w:p w14:paraId="65D86631" w14:textId="77777777" w:rsidR="00A901DD" w:rsidRPr="0017637C" w:rsidRDefault="00A901DD" w:rsidP="00C043AA">
      <w:pPr>
        <w:pStyle w:val="NormalWeb"/>
        <w:rPr>
          <w:b/>
          <w:iCs/>
          <w:color w:val="000000"/>
          <w:szCs w:val="22"/>
        </w:rPr>
      </w:pPr>
      <w:r w:rsidRPr="0017637C">
        <w:rPr>
          <w:b/>
          <w:iCs/>
          <w:color w:val="000000"/>
          <w:szCs w:val="22"/>
        </w:rPr>
        <w:t>Secondary Sources: Books and Articles</w:t>
      </w:r>
    </w:p>
    <w:p w14:paraId="39D54CE7" w14:textId="77777777" w:rsidR="00A901DD" w:rsidRPr="0017637C" w:rsidRDefault="00A901DD" w:rsidP="00C043AA">
      <w:pPr>
        <w:pStyle w:val="NormalWeb"/>
        <w:rPr>
          <w:color w:val="000000"/>
          <w:sz w:val="22"/>
          <w:szCs w:val="22"/>
        </w:rPr>
      </w:pPr>
      <w:r w:rsidRPr="0017637C">
        <w:rPr>
          <w:color w:val="000000"/>
          <w:sz w:val="22"/>
          <w:szCs w:val="22"/>
        </w:rPr>
        <w:t xml:space="preserve">Archer, I., </w:t>
      </w:r>
      <w:r w:rsidRPr="0017637C">
        <w:rPr>
          <w:i/>
          <w:color w:val="000000"/>
          <w:sz w:val="22"/>
          <w:szCs w:val="22"/>
        </w:rPr>
        <w:t>In Pursuit of Stability: Social Relations in Elizabethan London</w:t>
      </w:r>
      <w:r w:rsidRPr="0017637C">
        <w:rPr>
          <w:color w:val="000000"/>
          <w:sz w:val="22"/>
          <w:szCs w:val="22"/>
        </w:rPr>
        <w:t xml:space="preserve"> (Cambridge, 1991)</w:t>
      </w:r>
    </w:p>
    <w:p w14:paraId="46F4115C" w14:textId="77777777" w:rsidR="00A901DD" w:rsidRPr="0017637C" w:rsidRDefault="00A901DD" w:rsidP="00C043AA">
      <w:pPr>
        <w:pStyle w:val="NormalWeb"/>
        <w:rPr>
          <w:sz w:val="22"/>
          <w:szCs w:val="22"/>
        </w:rPr>
      </w:pPr>
      <w:proofErr w:type="spellStart"/>
      <w:r w:rsidRPr="0017637C">
        <w:rPr>
          <w:color w:val="000000"/>
          <w:sz w:val="22"/>
          <w:szCs w:val="22"/>
        </w:rPr>
        <w:t>Aughterson</w:t>
      </w:r>
      <w:proofErr w:type="spellEnd"/>
      <w:r w:rsidRPr="0017637C">
        <w:rPr>
          <w:color w:val="000000"/>
          <w:sz w:val="22"/>
          <w:szCs w:val="22"/>
        </w:rPr>
        <w:t>, K., </w:t>
      </w:r>
      <w:r w:rsidRPr="0017637C">
        <w:rPr>
          <w:i/>
          <w:sz w:val="22"/>
          <w:szCs w:val="22"/>
        </w:rPr>
        <w:t>Renaissance Women: Constructions of Femininity in England</w:t>
      </w:r>
      <w:r w:rsidRPr="0017637C">
        <w:rPr>
          <w:sz w:val="22"/>
          <w:szCs w:val="22"/>
        </w:rPr>
        <w:t xml:space="preserve"> (London, 1995)</w:t>
      </w:r>
    </w:p>
    <w:p w14:paraId="1C4ACF4A" w14:textId="77777777" w:rsidR="00A901DD" w:rsidRPr="0017637C" w:rsidRDefault="00A901DD" w:rsidP="00C043AA">
      <w:pPr>
        <w:pStyle w:val="NormalWeb"/>
        <w:rPr>
          <w:sz w:val="22"/>
          <w:szCs w:val="22"/>
        </w:rPr>
      </w:pPr>
      <w:proofErr w:type="spellStart"/>
      <w:r w:rsidRPr="0017637C">
        <w:rPr>
          <w:sz w:val="22"/>
          <w:szCs w:val="22"/>
        </w:rPr>
        <w:t>Beilin</w:t>
      </w:r>
      <w:proofErr w:type="spellEnd"/>
      <w:r w:rsidRPr="0017637C">
        <w:rPr>
          <w:sz w:val="22"/>
          <w:szCs w:val="22"/>
        </w:rPr>
        <w:t xml:space="preserve">, E., </w:t>
      </w:r>
      <w:r w:rsidRPr="0017637C">
        <w:rPr>
          <w:i/>
          <w:sz w:val="22"/>
          <w:szCs w:val="22"/>
        </w:rPr>
        <w:t>Redeeming Eve: Women Writers of the English Renaissance</w:t>
      </w:r>
      <w:r w:rsidRPr="0017637C">
        <w:rPr>
          <w:sz w:val="22"/>
          <w:szCs w:val="22"/>
        </w:rPr>
        <w:t xml:space="preserve"> (Princeton, 1987)</w:t>
      </w:r>
    </w:p>
    <w:p w14:paraId="7CFF0DB1" w14:textId="77777777" w:rsidR="00A901DD" w:rsidRPr="0017637C" w:rsidRDefault="00A901DD" w:rsidP="00C043AA">
      <w:pPr>
        <w:pStyle w:val="NormalWeb"/>
        <w:rPr>
          <w:sz w:val="22"/>
          <w:szCs w:val="22"/>
        </w:rPr>
      </w:pPr>
      <w:r w:rsidRPr="0017637C">
        <w:rPr>
          <w:sz w:val="22"/>
          <w:szCs w:val="22"/>
        </w:rPr>
        <w:lastRenderedPageBreak/>
        <w:t xml:space="preserve">Benson, P., ‘Praise and </w:t>
      </w:r>
      <w:proofErr w:type="spellStart"/>
      <w:r w:rsidRPr="0017637C">
        <w:rPr>
          <w:sz w:val="22"/>
          <w:szCs w:val="22"/>
        </w:rPr>
        <w:t>defence</w:t>
      </w:r>
      <w:proofErr w:type="spellEnd"/>
      <w:r w:rsidRPr="0017637C">
        <w:rPr>
          <w:sz w:val="22"/>
          <w:szCs w:val="22"/>
        </w:rPr>
        <w:t xml:space="preserve"> of the Queen in </w:t>
      </w:r>
      <w:r w:rsidRPr="0017637C">
        <w:rPr>
          <w:i/>
          <w:sz w:val="22"/>
          <w:szCs w:val="22"/>
        </w:rPr>
        <w:t xml:space="preserve">The Faerie </w:t>
      </w:r>
      <w:proofErr w:type="spellStart"/>
      <w:r w:rsidRPr="0017637C">
        <w:rPr>
          <w:i/>
          <w:sz w:val="22"/>
          <w:szCs w:val="22"/>
        </w:rPr>
        <w:t>Queene</w:t>
      </w:r>
      <w:proofErr w:type="spellEnd"/>
      <w:r w:rsidRPr="0017637C">
        <w:rPr>
          <w:sz w:val="22"/>
          <w:szCs w:val="22"/>
        </w:rPr>
        <w:t xml:space="preserve">, Book V’ in A. Hadfield (ed.), </w:t>
      </w:r>
      <w:r w:rsidRPr="0017637C">
        <w:rPr>
          <w:i/>
          <w:sz w:val="22"/>
          <w:szCs w:val="22"/>
        </w:rPr>
        <w:t>Edmund Spenser</w:t>
      </w:r>
      <w:r w:rsidRPr="0017637C">
        <w:rPr>
          <w:sz w:val="22"/>
          <w:szCs w:val="22"/>
        </w:rPr>
        <w:t xml:space="preserve"> (London, 1996), pp. 151-176</w:t>
      </w:r>
    </w:p>
    <w:p w14:paraId="5FBD27E6" w14:textId="77777777" w:rsidR="00A901DD" w:rsidRPr="0017637C" w:rsidRDefault="00A901DD" w:rsidP="00C043AA">
      <w:pPr>
        <w:pStyle w:val="NormalWeb"/>
        <w:rPr>
          <w:sz w:val="22"/>
          <w:szCs w:val="22"/>
        </w:rPr>
      </w:pPr>
      <w:proofErr w:type="spellStart"/>
      <w:r w:rsidRPr="0017637C">
        <w:rPr>
          <w:sz w:val="22"/>
          <w:szCs w:val="22"/>
        </w:rPr>
        <w:t>Binns</w:t>
      </w:r>
      <w:proofErr w:type="spellEnd"/>
      <w:r w:rsidRPr="0017637C">
        <w:rPr>
          <w:sz w:val="22"/>
          <w:szCs w:val="22"/>
        </w:rPr>
        <w:t xml:space="preserve">, J., </w:t>
      </w:r>
      <w:r w:rsidRPr="0017637C">
        <w:rPr>
          <w:i/>
          <w:sz w:val="22"/>
          <w:szCs w:val="22"/>
        </w:rPr>
        <w:t>Intellectual Culture in Elizabethan and Jacobean England: The Latin Writings of the Age</w:t>
      </w:r>
      <w:r w:rsidRPr="0017637C">
        <w:rPr>
          <w:sz w:val="22"/>
          <w:szCs w:val="22"/>
        </w:rPr>
        <w:t xml:space="preserve"> (Leeds, 1990)</w:t>
      </w:r>
    </w:p>
    <w:p w14:paraId="76B09245" w14:textId="77777777" w:rsidR="00A901DD" w:rsidRPr="0017637C" w:rsidRDefault="00A901DD" w:rsidP="00C043AA">
      <w:pPr>
        <w:pStyle w:val="NormalWeb"/>
        <w:rPr>
          <w:sz w:val="22"/>
          <w:szCs w:val="22"/>
        </w:rPr>
      </w:pPr>
      <w:r w:rsidRPr="0017637C">
        <w:rPr>
          <w:sz w:val="22"/>
          <w:szCs w:val="22"/>
        </w:rPr>
        <w:t xml:space="preserve">Braden, G., </w:t>
      </w:r>
      <w:r w:rsidRPr="0017637C">
        <w:rPr>
          <w:i/>
          <w:sz w:val="22"/>
          <w:szCs w:val="22"/>
        </w:rPr>
        <w:t>Renaissance Tragedy and the Senecan Tradition: Anger’s Privilege</w:t>
      </w:r>
      <w:r w:rsidRPr="0017637C">
        <w:rPr>
          <w:sz w:val="22"/>
          <w:szCs w:val="22"/>
        </w:rPr>
        <w:t xml:space="preserve"> (New Haven, 1985)</w:t>
      </w:r>
    </w:p>
    <w:p w14:paraId="6EE85A99" w14:textId="77777777" w:rsidR="00A901DD" w:rsidRPr="0017637C" w:rsidRDefault="00A901DD" w:rsidP="00C043AA">
      <w:pPr>
        <w:pStyle w:val="NormalWeb"/>
        <w:rPr>
          <w:sz w:val="22"/>
          <w:szCs w:val="22"/>
        </w:rPr>
      </w:pPr>
      <w:r w:rsidRPr="0017637C">
        <w:rPr>
          <w:sz w:val="22"/>
          <w:szCs w:val="22"/>
        </w:rPr>
        <w:t xml:space="preserve">Bruce, Y., ‘“That Which </w:t>
      </w:r>
      <w:proofErr w:type="spellStart"/>
      <w:r w:rsidRPr="0017637C">
        <w:rPr>
          <w:sz w:val="22"/>
          <w:szCs w:val="22"/>
        </w:rPr>
        <w:t>Marreth</w:t>
      </w:r>
      <w:proofErr w:type="spellEnd"/>
      <w:r w:rsidRPr="0017637C">
        <w:rPr>
          <w:sz w:val="22"/>
          <w:szCs w:val="22"/>
        </w:rPr>
        <w:t xml:space="preserve"> All”: Constancy and Gender in the Virtuous Octavia’, </w:t>
      </w:r>
      <w:r w:rsidRPr="0017637C">
        <w:rPr>
          <w:i/>
          <w:sz w:val="22"/>
          <w:szCs w:val="22"/>
        </w:rPr>
        <w:t>Medieval and Renaissance Drama</w:t>
      </w:r>
      <w:r w:rsidRPr="0017637C">
        <w:rPr>
          <w:sz w:val="22"/>
          <w:szCs w:val="22"/>
        </w:rPr>
        <w:t>, 22 (2009), pp. 42-59</w:t>
      </w:r>
    </w:p>
    <w:p w14:paraId="62E89165" w14:textId="77777777" w:rsidR="00A901DD" w:rsidRPr="0017637C" w:rsidRDefault="00A901DD" w:rsidP="00C043AA">
      <w:pPr>
        <w:pStyle w:val="NormalWeb"/>
        <w:rPr>
          <w:sz w:val="22"/>
          <w:szCs w:val="22"/>
        </w:rPr>
      </w:pPr>
      <w:proofErr w:type="spellStart"/>
      <w:r w:rsidRPr="0017637C">
        <w:rPr>
          <w:sz w:val="22"/>
          <w:szCs w:val="22"/>
        </w:rPr>
        <w:t>Chernaik</w:t>
      </w:r>
      <w:proofErr w:type="spellEnd"/>
      <w:r w:rsidRPr="0017637C">
        <w:rPr>
          <w:sz w:val="22"/>
          <w:szCs w:val="22"/>
        </w:rPr>
        <w:t xml:space="preserve">, W., </w:t>
      </w:r>
      <w:r w:rsidRPr="0017637C">
        <w:rPr>
          <w:i/>
          <w:sz w:val="22"/>
          <w:szCs w:val="22"/>
        </w:rPr>
        <w:t>The Myth of Rome in Shakespeare and his Contemporaries</w:t>
      </w:r>
      <w:r w:rsidRPr="0017637C">
        <w:rPr>
          <w:sz w:val="22"/>
          <w:szCs w:val="22"/>
        </w:rPr>
        <w:t xml:space="preserve"> (Cambridge, 2011)</w:t>
      </w:r>
    </w:p>
    <w:p w14:paraId="0F1ECC9A" w14:textId="77777777" w:rsidR="00A901DD" w:rsidRPr="0017637C" w:rsidRDefault="00A901DD" w:rsidP="00C043AA">
      <w:pPr>
        <w:pStyle w:val="NormalWeb"/>
        <w:rPr>
          <w:sz w:val="22"/>
          <w:szCs w:val="22"/>
        </w:rPr>
      </w:pPr>
      <w:r w:rsidRPr="0017637C">
        <w:rPr>
          <w:sz w:val="22"/>
          <w:szCs w:val="22"/>
        </w:rPr>
        <w:t xml:space="preserve">Clarke, D., ‘The Politics of Translation and Gender in the Countess of Pembroke’s </w:t>
      </w:r>
      <w:proofErr w:type="spellStart"/>
      <w:r w:rsidRPr="0017637C">
        <w:rPr>
          <w:i/>
          <w:sz w:val="22"/>
          <w:szCs w:val="22"/>
        </w:rPr>
        <w:t>Antonie</w:t>
      </w:r>
      <w:proofErr w:type="spellEnd"/>
      <w:r w:rsidRPr="0017637C">
        <w:rPr>
          <w:sz w:val="22"/>
          <w:szCs w:val="22"/>
        </w:rPr>
        <w:t xml:space="preserve">, </w:t>
      </w:r>
      <w:r w:rsidRPr="0017637C">
        <w:rPr>
          <w:i/>
          <w:sz w:val="22"/>
          <w:szCs w:val="22"/>
        </w:rPr>
        <w:t>Translation and Literature</w:t>
      </w:r>
      <w:r w:rsidRPr="0017637C">
        <w:rPr>
          <w:sz w:val="22"/>
          <w:szCs w:val="22"/>
        </w:rPr>
        <w:t>, 6/2 (1997), pp. 149-66</w:t>
      </w:r>
    </w:p>
    <w:p w14:paraId="2B9BDB8E" w14:textId="77777777" w:rsidR="00A901DD" w:rsidRPr="0017637C" w:rsidRDefault="00A901DD" w:rsidP="00C043AA">
      <w:pPr>
        <w:pStyle w:val="NormalWeb"/>
        <w:rPr>
          <w:sz w:val="22"/>
          <w:szCs w:val="22"/>
        </w:rPr>
      </w:pPr>
      <w:r w:rsidRPr="0017637C">
        <w:rPr>
          <w:sz w:val="22"/>
          <w:szCs w:val="22"/>
        </w:rPr>
        <w:t xml:space="preserve">Doran, S. and </w:t>
      </w:r>
      <w:proofErr w:type="spellStart"/>
      <w:r w:rsidRPr="0017637C">
        <w:rPr>
          <w:sz w:val="22"/>
          <w:szCs w:val="22"/>
        </w:rPr>
        <w:t>Kewes</w:t>
      </w:r>
      <w:proofErr w:type="spellEnd"/>
      <w:r w:rsidRPr="0017637C">
        <w:rPr>
          <w:sz w:val="22"/>
          <w:szCs w:val="22"/>
        </w:rPr>
        <w:t xml:space="preserve">, P., ‘The earlier Elizabethan succession question revisited’ in S. Doran and P. </w:t>
      </w:r>
      <w:proofErr w:type="spellStart"/>
      <w:r w:rsidRPr="0017637C">
        <w:rPr>
          <w:sz w:val="22"/>
          <w:szCs w:val="22"/>
        </w:rPr>
        <w:t>Kewes</w:t>
      </w:r>
      <w:proofErr w:type="spellEnd"/>
      <w:r w:rsidRPr="0017637C">
        <w:rPr>
          <w:sz w:val="22"/>
          <w:szCs w:val="22"/>
        </w:rPr>
        <w:t xml:space="preserve"> (ed.) </w:t>
      </w:r>
      <w:r w:rsidRPr="0017637C">
        <w:rPr>
          <w:i/>
          <w:sz w:val="22"/>
          <w:szCs w:val="22"/>
        </w:rPr>
        <w:t>Doubtful and Dangerous: The question of succession in late Elizabethan England</w:t>
      </w:r>
      <w:r w:rsidRPr="0017637C">
        <w:rPr>
          <w:sz w:val="22"/>
          <w:szCs w:val="22"/>
        </w:rPr>
        <w:t xml:space="preserve"> (Manchester, 2014), pp. 20-44</w:t>
      </w:r>
    </w:p>
    <w:p w14:paraId="1542A57D" w14:textId="77777777" w:rsidR="00A901DD" w:rsidRPr="0017637C" w:rsidRDefault="00A901DD" w:rsidP="00C043AA">
      <w:pPr>
        <w:pStyle w:val="NormalWeb"/>
        <w:rPr>
          <w:sz w:val="22"/>
          <w:szCs w:val="22"/>
        </w:rPr>
      </w:pPr>
      <w:r w:rsidRPr="0017637C">
        <w:rPr>
          <w:sz w:val="22"/>
          <w:szCs w:val="22"/>
        </w:rPr>
        <w:t xml:space="preserve">Doran, S., ‘Elizabeth I: An Old Testament King’ in A. Whitlock and A. Hunt (ed.), </w:t>
      </w:r>
      <w:r w:rsidRPr="0017637C">
        <w:rPr>
          <w:i/>
          <w:sz w:val="22"/>
          <w:szCs w:val="22"/>
        </w:rPr>
        <w:t>Tudor Queenship: the reigns of Mary and Elizabeth</w:t>
      </w:r>
      <w:r w:rsidRPr="0017637C">
        <w:rPr>
          <w:sz w:val="22"/>
          <w:szCs w:val="22"/>
        </w:rPr>
        <w:t xml:space="preserve"> (Basingstoke, 2010), pp. 95-110</w:t>
      </w:r>
    </w:p>
    <w:p w14:paraId="38D36A27" w14:textId="77777777" w:rsidR="00A901DD" w:rsidRPr="0017637C" w:rsidRDefault="00A901DD" w:rsidP="00C043AA">
      <w:pPr>
        <w:pStyle w:val="NormalWeb"/>
        <w:rPr>
          <w:sz w:val="22"/>
          <w:szCs w:val="22"/>
        </w:rPr>
      </w:pPr>
      <w:r w:rsidRPr="0017637C">
        <w:rPr>
          <w:sz w:val="22"/>
          <w:szCs w:val="22"/>
        </w:rPr>
        <w:t xml:space="preserve">Eggert, K., ‘Nostalgia and the Not Yet Late Queen: Refusing Female Rule in </w:t>
      </w:r>
      <w:r w:rsidRPr="0017637C">
        <w:rPr>
          <w:i/>
          <w:sz w:val="22"/>
          <w:szCs w:val="22"/>
        </w:rPr>
        <w:t>Henry V</w:t>
      </w:r>
      <w:r w:rsidRPr="0017637C">
        <w:rPr>
          <w:sz w:val="22"/>
          <w:szCs w:val="22"/>
        </w:rPr>
        <w:t xml:space="preserve">’, </w:t>
      </w:r>
      <w:r w:rsidRPr="0017637C">
        <w:rPr>
          <w:i/>
          <w:sz w:val="22"/>
          <w:szCs w:val="22"/>
        </w:rPr>
        <w:t>English Literary History</w:t>
      </w:r>
      <w:r w:rsidRPr="0017637C">
        <w:rPr>
          <w:sz w:val="22"/>
          <w:szCs w:val="22"/>
        </w:rPr>
        <w:t>, 61/3 (1994), pp. 523-50</w:t>
      </w:r>
    </w:p>
    <w:p w14:paraId="219C276C" w14:textId="77777777" w:rsidR="00A901DD" w:rsidRPr="0017637C" w:rsidRDefault="00A901DD" w:rsidP="00C043AA">
      <w:pPr>
        <w:pStyle w:val="NormalWeb"/>
        <w:rPr>
          <w:sz w:val="22"/>
          <w:szCs w:val="22"/>
        </w:rPr>
      </w:pPr>
      <w:r w:rsidRPr="0017637C">
        <w:rPr>
          <w:sz w:val="22"/>
          <w:szCs w:val="22"/>
        </w:rPr>
        <w:t xml:space="preserve">Freeman, T. and Doran, S., ‘Introduction’ in T. Freeman and S. Doran (ed.) </w:t>
      </w:r>
      <w:r w:rsidRPr="0017637C">
        <w:rPr>
          <w:i/>
          <w:sz w:val="22"/>
          <w:szCs w:val="22"/>
        </w:rPr>
        <w:t>The Myth of Elizabeth</w:t>
      </w:r>
      <w:r w:rsidRPr="0017637C">
        <w:rPr>
          <w:sz w:val="22"/>
          <w:szCs w:val="22"/>
        </w:rPr>
        <w:t xml:space="preserve"> (Basingstoke, 2003), pp. 1-23</w:t>
      </w:r>
    </w:p>
    <w:p w14:paraId="7EA1181F" w14:textId="77777777" w:rsidR="00A901DD" w:rsidRPr="0017637C" w:rsidRDefault="00A901DD" w:rsidP="00C043AA">
      <w:pPr>
        <w:pStyle w:val="NormalWeb"/>
        <w:rPr>
          <w:sz w:val="22"/>
          <w:szCs w:val="22"/>
        </w:rPr>
      </w:pPr>
      <w:proofErr w:type="spellStart"/>
      <w:r w:rsidRPr="0017637C">
        <w:rPr>
          <w:sz w:val="22"/>
          <w:szCs w:val="22"/>
        </w:rPr>
        <w:t>Gajda</w:t>
      </w:r>
      <w:proofErr w:type="spellEnd"/>
      <w:r w:rsidRPr="0017637C">
        <w:rPr>
          <w:sz w:val="22"/>
          <w:szCs w:val="22"/>
        </w:rPr>
        <w:t xml:space="preserve">, A., </w:t>
      </w:r>
      <w:r w:rsidRPr="0017637C">
        <w:rPr>
          <w:i/>
          <w:sz w:val="22"/>
          <w:szCs w:val="22"/>
        </w:rPr>
        <w:t>The Earl of Essex and Late Elizabethan Political Culture</w:t>
      </w:r>
      <w:r w:rsidRPr="0017637C">
        <w:rPr>
          <w:sz w:val="22"/>
          <w:szCs w:val="22"/>
        </w:rPr>
        <w:t xml:space="preserve"> (Oxford, 2012)</w:t>
      </w:r>
    </w:p>
    <w:p w14:paraId="05275ED1" w14:textId="77777777" w:rsidR="00A901DD" w:rsidRPr="0017637C" w:rsidRDefault="00A901DD" w:rsidP="00C043AA">
      <w:pPr>
        <w:pStyle w:val="NormalWeb"/>
        <w:rPr>
          <w:sz w:val="22"/>
          <w:szCs w:val="22"/>
        </w:rPr>
      </w:pPr>
      <w:proofErr w:type="spellStart"/>
      <w:r w:rsidRPr="0017637C">
        <w:rPr>
          <w:sz w:val="22"/>
          <w:szCs w:val="22"/>
        </w:rPr>
        <w:t>Gajda</w:t>
      </w:r>
      <w:proofErr w:type="spellEnd"/>
      <w:r w:rsidRPr="0017637C">
        <w:rPr>
          <w:sz w:val="22"/>
          <w:szCs w:val="22"/>
        </w:rPr>
        <w:t xml:space="preserve">, A., ‘Essex and the “popish plot”’ in S. Doran and P. </w:t>
      </w:r>
      <w:proofErr w:type="spellStart"/>
      <w:r w:rsidRPr="0017637C">
        <w:rPr>
          <w:sz w:val="22"/>
          <w:szCs w:val="22"/>
        </w:rPr>
        <w:t>Kewes</w:t>
      </w:r>
      <w:proofErr w:type="spellEnd"/>
      <w:r w:rsidRPr="0017637C">
        <w:rPr>
          <w:sz w:val="22"/>
          <w:szCs w:val="22"/>
        </w:rPr>
        <w:t xml:space="preserve"> (ed.) </w:t>
      </w:r>
      <w:r w:rsidRPr="0017637C">
        <w:rPr>
          <w:i/>
          <w:sz w:val="22"/>
          <w:szCs w:val="22"/>
        </w:rPr>
        <w:t>Doubtful and Dangerous: The question of succession in late Elizabethan England</w:t>
      </w:r>
      <w:r w:rsidRPr="0017637C">
        <w:rPr>
          <w:sz w:val="22"/>
          <w:szCs w:val="22"/>
        </w:rPr>
        <w:t xml:space="preserve"> (Manchester, 2014), pp. 115-33</w:t>
      </w:r>
    </w:p>
    <w:p w14:paraId="526D2DA6" w14:textId="77777777" w:rsidR="00A901DD" w:rsidRPr="0017637C" w:rsidRDefault="00A901DD" w:rsidP="00C043AA">
      <w:pPr>
        <w:pStyle w:val="NormalWeb"/>
        <w:rPr>
          <w:color w:val="000000"/>
          <w:sz w:val="22"/>
          <w:szCs w:val="22"/>
        </w:rPr>
      </w:pPr>
      <w:proofErr w:type="spellStart"/>
      <w:r w:rsidRPr="0017637C">
        <w:rPr>
          <w:sz w:val="22"/>
          <w:szCs w:val="22"/>
        </w:rPr>
        <w:t>Gajda</w:t>
      </w:r>
      <w:proofErr w:type="spellEnd"/>
      <w:r w:rsidRPr="0017637C">
        <w:rPr>
          <w:sz w:val="22"/>
          <w:szCs w:val="22"/>
        </w:rPr>
        <w:t xml:space="preserve">, A., ‘The Gordian Knot of Policy: Statecraft and the Prudent Prince’, </w:t>
      </w:r>
      <w:r w:rsidRPr="0017637C">
        <w:rPr>
          <w:color w:val="000000"/>
          <w:sz w:val="22"/>
          <w:szCs w:val="22"/>
        </w:rPr>
        <w:t xml:space="preserve">in M. Smuts (ed.), </w:t>
      </w:r>
      <w:r w:rsidRPr="0017637C">
        <w:rPr>
          <w:i/>
          <w:color w:val="000000"/>
          <w:sz w:val="22"/>
          <w:szCs w:val="22"/>
        </w:rPr>
        <w:t>The Oxford Handbook to the Age of Shakespeare</w:t>
      </w:r>
      <w:r w:rsidRPr="0017637C">
        <w:rPr>
          <w:color w:val="000000"/>
          <w:sz w:val="22"/>
          <w:szCs w:val="22"/>
        </w:rPr>
        <w:t xml:space="preserve"> (Oxford, 2016), pp. 286-305</w:t>
      </w:r>
    </w:p>
    <w:p w14:paraId="417D1C36" w14:textId="77777777" w:rsidR="00A901DD" w:rsidRPr="0017637C" w:rsidRDefault="00A901DD" w:rsidP="00C043AA">
      <w:pPr>
        <w:pStyle w:val="NormalWeb"/>
        <w:rPr>
          <w:sz w:val="22"/>
          <w:szCs w:val="22"/>
        </w:rPr>
      </w:pPr>
      <w:proofErr w:type="spellStart"/>
      <w:r w:rsidRPr="0017637C">
        <w:rPr>
          <w:sz w:val="22"/>
          <w:szCs w:val="22"/>
        </w:rPr>
        <w:t>Gajda</w:t>
      </w:r>
      <w:proofErr w:type="spellEnd"/>
      <w:r w:rsidRPr="0017637C">
        <w:rPr>
          <w:sz w:val="22"/>
          <w:szCs w:val="22"/>
        </w:rPr>
        <w:t xml:space="preserve">, A., ‘Political Culture in the 1590s: The ‘Second Reign of Elizabeth’, </w:t>
      </w:r>
      <w:r w:rsidRPr="0017637C">
        <w:rPr>
          <w:i/>
          <w:sz w:val="22"/>
          <w:szCs w:val="22"/>
        </w:rPr>
        <w:t>History Compass</w:t>
      </w:r>
      <w:r w:rsidRPr="0017637C">
        <w:rPr>
          <w:sz w:val="22"/>
          <w:szCs w:val="22"/>
        </w:rPr>
        <w:t>, 8/1 (2010), pp. 88-100</w:t>
      </w:r>
    </w:p>
    <w:p w14:paraId="77B01476" w14:textId="77777777" w:rsidR="00A901DD" w:rsidRPr="0017637C" w:rsidRDefault="00A901DD" w:rsidP="00C043AA">
      <w:pPr>
        <w:pStyle w:val="NormalWeb"/>
        <w:rPr>
          <w:sz w:val="22"/>
          <w:szCs w:val="22"/>
        </w:rPr>
      </w:pPr>
      <w:proofErr w:type="spellStart"/>
      <w:r w:rsidRPr="0017637C">
        <w:rPr>
          <w:sz w:val="22"/>
          <w:szCs w:val="22"/>
        </w:rPr>
        <w:t>Gamel</w:t>
      </w:r>
      <w:proofErr w:type="spellEnd"/>
      <w:r w:rsidRPr="0017637C">
        <w:rPr>
          <w:sz w:val="22"/>
          <w:szCs w:val="22"/>
        </w:rPr>
        <w:t xml:space="preserve">, M., ‘The Triumph of Cupid: Marlowe’s </w:t>
      </w:r>
      <w:r w:rsidRPr="0017637C">
        <w:rPr>
          <w:i/>
          <w:sz w:val="22"/>
          <w:szCs w:val="22"/>
        </w:rPr>
        <w:t>Dido, Queen of Carthage</w:t>
      </w:r>
      <w:r w:rsidRPr="0017637C">
        <w:rPr>
          <w:sz w:val="22"/>
          <w:szCs w:val="22"/>
        </w:rPr>
        <w:t xml:space="preserve">’, </w:t>
      </w:r>
      <w:r w:rsidRPr="0017637C">
        <w:rPr>
          <w:i/>
          <w:sz w:val="22"/>
          <w:szCs w:val="22"/>
        </w:rPr>
        <w:t>The American Journal of Philology</w:t>
      </w:r>
      <w:r w:rsidRPr="0017637C">
        <w:rPr>
          <w:sz w:val="22"/>
          <w:szCs w:val="22"/>
        </w:rPr>
        <w:t>, 126/4 (2005), pp. 613-22</w:t>
      </w:r>
    </w:p>
    <w:p w14:paraId="390DF2B2" w14:textId="77777777" w:rsidR="00A901DD" w:rsidRPr="0017637C" w:rsidRDefault="00A901DD" w:rsidP="00C043AA">
      <w:pPr>
        <w:pStyle w:val="NormalWeb"/>
        <w:rPr>
          <w:sz w:val="22"/>
          <w:szCs w:val="22"/>
        </w:rPr>
      </w:pPr>
      <w:proofErr w:type="spellStart"/>
      <w:r w:rsidRPr="0017637C">
        <w:rPr>
          <w:sz w:val="22"/>
          <w:szCs w:val="22"/>
        </w:rPr>
        <w:t>Godshalk</w:t>
      </w:r>
      <w:proofErr w:type="spellEnd"/>
      <w:r w:rsidRPr="0017637C">
        <w:rPr>
          <w:sz w:val="22"/>
          <w:szCs w:val="22"/>
        </w:rPr>
        <w:t xml:space="preserve">, W., ‘Marlowe’s </w:t>
      </w:r>
      <w:r w:rsidRPr="0017637C">
        <w:rPr>
          <w:i/>
          <w:sz w:val="22"/>
          <w:szCs w:val="22"/>
        </w:rPr>
        <w:t>Dido Queen of Carthage</w:t>
      </w:r>
      <w:r w:rsidRPr="0017637C">
        <w:rPr>
          <w:sz w:val="22"/>
          <w:szCs w:val="22"/>
        </w:rPr>
        <w:t xml:space="preserve">, </w:t>
      </w:r>
      <w:r w:rsidRPr="0017637C">
        <w:rPr>
          <w:i/>
          <w:sz w:val="22"/>
          <w:szCs w:val="22"/>
        </w:rPr>
        <w:t>English Literary History</w:t>
      </w:r>
      <w:r w:rsidRPr="0017637C">
        <w:rPr>
          <w:sz w:val="22"/>
          <w:szCs w:val="22"/>
        </w:rPr>
        <w:t>, 38/1 (1971), pp. 1-18</w:t>
      </w:r>
    </w:p>
    <w:p w14:paraId="67246C01" w14:textId="77777777" w:rsidR="00A901DD" w:rsidRPr="0017637C" w:rsidRDefault="00A901DD" w:rsidP="00C043AA">
      <w:pPr>
        <w:pStyle w:val="NormalWeb"/>
        <w:rPr>
          <w:sz w:val="22"/>
          <w:szCs w:val="22"/>
        </w:rPr>
      </w:pPr>
      <w:proofErr w:type="spellStart"/>
      <w:r w:rsidRPr="0017637C">
        <w:rPr>
          <w:sz w:val="22"/>
          <w:szCs w:val="22"/>
        </w:rPr>
        <w:t>Gowing</w:t>
      </w:r>
      <w:proofErr w:type="spellEnd"/>
      <w:r w:rsidRPr="0017637C">
        <w:rPr>
          <w:sz w:val="22"/>
          <w:szCs w:val="22"/>
        </w:rPr>
        <w:t xml:space="preserve">, L., </w:t>
      </w:r>
      <w:r w:rsidRPr="0017637C">
        <w:rPr>
          <w:i/>
          <w:sz w:val="22"/>
          <w:szCs w:val="22"/>
        </w:rPr>
        <w:t>Domestic Dangers: Women, Words, and Sex in Early Modern London</w:t>
      </w:r>
      <w:r w:rsidRPr="0017637C">
        <w:rPr>
          <w:sz w:val="22"/>
          <w:szCs w:val="22"/>
        </w:rPr>
        <w:t xml:space="preserve"> (Oxford, 1996)</w:t>
      </w:r>
    </w:p>
    <w:p w14:paraId="7B505E4B" w14:textId="77777777" w:rsidR="00A901DD" w:rsidRPr="0017637C" w:rsidRDefault="00A901DD" w:rsidP="00C043AA">
      <w:pPr>
        <w:pStyle w:val="FootnoteText"/>
        <w:rPr>
          <w:rFonts w:cs="Times New Roman"/>
          <w:sz w:val="22"/>
          <w:szCs w:val="22"/>
        </w:rPr>
      </w:pPr>
      <w:proofErr w:type="spellStart"/>
      <w:r w:rsidRPr="0017637C">
        <w:rPr>
          <w:sz w:val="22"/>
          <w:szCs w:val="22"/>
        </w:rPr>
        <w:t>Gowing</w:t>
      </w:r>
      <w:proofErr w:type="spellEnd"/>
      <w:r w:rsidRPr="0017637C">
        <w:rPr>
          <w:sz w:val="22"/>
          <w:szCs w:val="22"/>
        </w:rPr>
        <w:t xml:space="preserve">, L., </w:t>
      </w:r>
      <w:r w:rsidRPr="0017637C">
        <w:rPr>
          <w:rFonts w:cs="Times New Roman"/>
          <w:i/>
          <w:sz w:val="22"/>
          <w:szCs w:val="22"/>
        </w:rPr>
        <w:t>Gender Relations in Early Modern England</w:t>
      </w:r>
      <w:r w:rsidRPr="0017637C">
        <w:rPr>
          <w:rFonts w:cs="Times New Roman"/>
          <w:sz w:val="22"/>
          <w:szCs w:val="22"/>
        </w:rPr>
        <w:t xml:space="preserve"> (Harlow, 2012)</w:t>
      </w:r>
    </w:p>
    <w:p w14:paraId="553E4DB8" w14:textId="77777777" w:rsidR="00A901DD" w:rsidRPr="0017637C" w:rsidRDefault="00A901DD" w:rsidP="00C043AA">
      <w:pPr>
        <w:pStyle w:val="NormalWeb"/>
        <w:rPr>
          <w:sz w:val="22"/>
          <w:szCs w:val="22"/>
        </w:rPr>
      </w:pPr>
      <w:r w:rsidRPr="0017637C">
        <w:rPr>
          <w:sz w:val="22"/>
          <w:szCs w:val="22"/>
        </w:rPr>
        <w:t xml:space="preserve">Gray, P., </w:t>
      </w:r>
      <w:r w:rsidRPr="0017637C">
        <w:rPr>
          <w:i/>
          <w:sz w:val="22"/>
          <w:szCs w:val="22"/>
        </w:rPr>
        <w:t>Shakespeare and the Fall of the Roman Republic: Selfhood, Stoicism and Civil War</w:t>
      </w:r>
      <w:r w:rsidRPr="0017637C">
        <w:rPr>
          <w:sz w:val="22"/>
          <w:szCs w:val="22"/>
        </w:rPr>
        <w:t xml:space="preserve"> (Edinburgh, 2019)</w:t>
      </w:r>
    </w:p>
    <w:p w14:paraId="52386A07" w14:textId="77777777" w:rsidR="00A901DD" w:rsidRPr="0017637C" w:rsidRDefault="00A901DD" w:rsidP="00C043AA">
      <w:pPr>
        <w:pStyle w:val="NormalWeb"/>
        <w:rPr>
          <w:sz w:val="22"/>
          <w:szCs w:val="22"/>
        </w:rPr>
      </w:pPr>
      <w:r w:rsidRPr="0017637C">
        <w:rPr>
          <w:sz w:val="22"/>
          <w:szCs w:val="22"/>
        </w:rPr>
        <w:lastRenderedPageBreak/>
        <w:t xml:space="preserve">Guy, J., ‘Introduction’ in J. Guy (ed.), </w:t>
      </w:r>
      <w:r w:rsidRPr="0017637C">
        <w:rPr>
          <w:i/>
          <w:sz w:val="22"/>
          <w:szCs w:val="22"/>
        </w:rPr>
        <w:t>The Reign of Elizabeth I: court and culture in the last decade</w:t>
      </w:r>
      <w:r w:rsidRPr="0017637C">
        <w:rPr>
          <w:sz w:val="22"/>
          <w:szCs w:val="22"/>
        </w:rPr>
        <w:t xml:space="preserve"> (Cambridge, 1995), pp. 1-19</w:t>
      </w:r>
    </w:p>
    <w:p w14:paraId="594874BE" w14:textId="77777777" w:rsidR="00A901DD" w:rsidRPr="0017637C" w:rsidRDefault="00A901DD" w:rsidP="00C043AA">
      <w:pPr>
        <w:pStyle w:val="NormalWeb"/>
        <w:rPr>
          <w:sz w:val="22"/>
          <w:szCs w:val="22"/>
        </w:rPr>
      </w:pPr>
      <w:r w:rsidRPr="0017637C">
        <w:rPr>
          <w:sz w:val="22"/>
          <w:szCs w:val="22"/>
        </w:rPr>
        <w:t>Hadfield, A., ‘</w:t>
      </w:r>
      <w:proofErr w:type="spellStart"/>
      <w:r w:rsidRPr="0017637C">
        <w:rPr>
          <w:sz w:val="22"/>
          <w:szCs w:val="22"/>
        </w:rPr>
        <w:t>Duessa’s</w:t>
      </w:r>
      <w:proofErr w:type="spellEnd"/>
      <w:r w:rsidRPr="0017637C">
        <w:rPr>
          <w:sz w:val="22"/>
          <w:szCs w:val="22"/>
        </w:rPr>
        <w:t xml:space="preserve"> Trial and Elizabeth’s Error: Judging Elizabeth in Spenser’s </w:t>
      </w:r>
      <w:r w:rsidRPr="0017637C">
        <w:rPr>
          <w:i/>
          <w:sz w:val="22"/>
          <w:szCs w:val="22"/>
        </w:rPr>
        <w:t xml:space="preserve">The Faerie </w:t>
      </w:r>
      <w:proofErr w:type="spellStart"/>
      <w:r w:rsidRPr="0017637C">
        <w:rPr>
          <w:i/>
          <w:sz w:val="22"/>
          <w:szCs w:val="22"/>
        </w:rPr>
        <w:t>Queene</w:t>
      </w:r>
      <w:proofErr w:type="spellEnd"/>
      <w:r w:rsidRPr="0017637C">
        <w:rPr>
          <w:sz w:val="22"/>
          <w:szCs w:val="22"/>
        </w:rPr>
        <w:t xml:space="preserve">’, in T. Freeman and S. Doran (ed.), </w:t>
      </w:r>
      <w:r w:rsidRPr="0017637C">
        <w:rPr>
          <w:i/>
          <w:sz w:val="22"/>
          <w:szCs w:val="22"/>
        </w:rPr>
        <w:t xml:space="preserve">The Myth of Elizabeth </w:t>
      </w:r>
      <w:r w:rsidRPr="0017637C">
        <w:rPr>
          <w:sz w:val="22"/>
          <w:szCs w:val="22"/>
        </w:rPr>
        <w:t>(Basingstoke, 2003), pp. 56-76</w:t>
      </w:r>
    </w:p>
    <w:p w14:paraId="4BB393EF" w14:textId="77777777" w:rsidR="00A901DD" w:rsidRPr="0017637C" w:rsidRDefault="00A901DD" w:rsidP="00C043AA">
      <w:pPr>
        <w:pStyle w:val="NormalWeb"/>
        <w:rPr>
          <w:sz w:val="22"/>
          <w:szCs w:val="22"/>
        </w:rPr>
      </w:pPr>
      <w:r w:rsidRPr="0017637C">
        <w:rPr>
          <w:sz w:val="22"/>
          <w:szCs w:val="22"/>
        </w:rPr>
        <w:t xml:space="preserve">Hadfield, A., ‘Edmund Spenser and Samuel Brandon’, </w:t>
      </w:r>
      <w:r w:rsidRPr="0017637C">
        <w:rPr>
          <w:i/>
          <w:sz w:val="22"/>
          <w:szCs w:val="22"/>
        </w:rPr>
        <w:t>Notes and Queries</w:t>
      </w:r>
      <w:r w:rsidRPr="0017637C">
        <w:rPr>
          <w:sz w:val="22"/>
          <w:szCs w:val="22"/>
        </w:rPr>
        <w:t>, 54/4 (2009)</w:t>
      </w:r>
    </w:p>
    <w:p w14:paraId="433F1BC7" w14:textId="77777777" w:rsidR="00A901DD" w:rsidRPr="0017637C" w:rsidRDefault="00A901DD" w:rsidP="00C043AA">
      <w:pPr>
        <w:pStyle w:val="NormalWeb"/>
        <w:rPr>
          <w:sz w:val="22"/>
          <w:szCs w:val="22"/>
          <w:lang w:val="en-GB"/>
        </w:rPr>
      </w:pPr>
      <w:r w:rsidRPr="0017637C">
        <w:rPr>
          <w:sz w:val="22"/>
          <w:szCs w:val="22"/>
          <w:lang w:val="en-GB"/>
        </w:rPr>
        <w:t xml:space="preserve">Hadfield, A., </w:t>
      </w:r>
      <w:r w:rsidRPr="0017637C">
        <w:rPr>
          <w:i/>
          <w:sz w:val="22"/>
          <w:szCs w:val="22"/>
          <w:lang w:val="en-GB"/>
        </w:rPr>
        <w:t>Shakespeare and Republicanism</w:t>
      </w:r>
      <w:r w:rsidRPr="0017637C">
        <w:rPr>
          <w:sz w:val="22"/>
          <w:szCs w:val="22"/>
          <w:lang w:val="en-GB"/>
        </w:rPr>
        <w:t xml:space="preserve"> (Cambridge, 2005)</w:t>
      </w:r>
    </w:p>
    <w:p w14:paraId="671986F8" w14:textId="77777777" w:rsidR="00A901DD" w:rsidRPr="0017637C" w:rsidRDefault="00A901DD" w:rsidP="00C043AA">
      <w:pPr>
        <w:pStyle w:val="NormalWeb"/>
        <w:rPr>
          <w:sz w:val="22"/>
          <w:szCs w:val="22"/>
          <w:lang w:val="en-GB"/>
        </w:rPr>
      </w:pPr>
      <w:r w:rsidRPr="0017637C">
        <w:rPr>
          <w:sz w:val="22"/>
          <w:szCs w:val="22"/>
          <w:lang w:val="en-GB"/>
        </w:rPr>
        <w:t xml:space="preserve">Hammer, P., </w:t>
      </w:r>
      <w:r w:rsidRPr="0017637C">
        <w:rPr>
          <w:i/>
          <w:sz w:val="22"/>
          <w:szCs w:val="22"/>
          <w:lang w:val="en-GB"/>
        </w:rPr>
        <w:t>The Polarisation of Elizabethan Politics: The Political Career of Robert Devereux, 2</w:t>
      </w:r>
      <w:r w:rsidRPr="0017637C">
        <w:rPr>
          <w:i/>
          <w:sz w:val="22"/>
          <w:szCs w:val="22"/>
          <w:vertAlign w:val="superscript"/>
          <w:lang w:val="en-GB"/>
        </w:rPr>
        <w:t>nd</w:t>
      </w:r>
      <w:r w:rsidRPr="0017637C">
        <w:rPr>
          <w:i/>
          <w:sz w:val="22"/>
          <w:szCs w:val="22"/>
          <w:lang w:val="en-GB"/>
        </w:rPr>
        <w:t xml:space="preserve"> Earl of Essex, 1585-1597</w:t>
      </w:r>
      <w:r w:rsidRPr="0017637C">
        <w:rPr>
          <w:sz w:val="22"/>
          <w:szCs w:val="22"/>
          <w:lang w:val="en-GB"/>
        </w:rPr>
        <w:t xml:space="preserve"> (Cambridge, 1999)</w:t>
      </w:r>
    </w:p>
    <w:p w14:paraId="595BC497" w14:textId="77777777" w:rsidR="00A901DD" w:rsidRPr="0017637C" w:rsidRDefault="00A901DD" w:rsidP="00C043AA">
      <w:pPr>
        <w:pStyle w:val="NormalWeb"/>
        <w:rPr>
          <w:sz w:val="22"/>
          <w:szCs w:val="22"/>
        </w:rPr>
      </w:pPr>
      <w:proofErr w:type="spellStart"/>
      <w:r w:rsidRPr="0017637C">
        <w:rPr>
          <w:sz w:val="22"/>
          <w:szCs w:val="22"/>
        </w:rPr>
        <w:t>Hannay</w:t>
      </w:r>
      <w:proofErr w:type="spellEnd"/>
      <w:r w:rsidRPr="0017637C">
        <w:rPr>
          <w:sz w:val="22"/>
          <w:szCs w:val="22"/>
        </w:rPr>
        <w:t xml:space="preserve">, M., </w:t>
      </w:r>
      <w:r w:rsidRPr="0017637C">
        <w:rPr>
          <w:i/>
          <w:sz w:val="22"/>
          <w:szCs w:val="22"/>
        </w:rPr>
        <w:t>Philip’s Phoenix: Mary Sidney, Countess of Pembroke</w:t>
      </w:r>
      <w:r w:rsidRPr="0017637C">
        <w:rPr>
          <w:sz w:val="22"/>
          <w:szCs w:val="22"/>
        </w:rPr>
        <w:t xml:space="preserve"> (Oxford, 1990)</w:t>
      </w:r>
    </w:p>
    <w:p w14:paraId="3091AF4C" w14:textId="77777777" w:rsidR="00A901DD" w:rsidRPr="0017637C" w:rsidRDefault="00A901DD" w:rsidP="00C043AA">
      <w:pPr>
        <w:pStyle w:val="NormalWeb"/>
        <w:rPr>
          <w:sz w:val="22"/>
          <w:szCs w:val="22"/>
        </w:rPr>
      </w:pPr>
      <w:r w:rsidRPr="0017637C">
        <w:rPr>
          <w:sz w:val="22"/>
          <w:szCs w:val="22"/>
        </w:rPr>
        <w:t xml:space="preserve">Jensen, F., </w:t>
      </w:r>
      <w:r w:rsidRPr="0017637C">
        <w:rPr>
          <w:i/>
          <w:sz w:val="22"/>
          <w:szCs w:val="22"/>
        </w:rPr>
        <w:t xml:space="preserve">Reading the Roman Republic in Early Modern England </w:t>
      </w:r>
      <w:r w:rsidRPr="0017637C">
        <w:rPr>
          <w:sz w:val="22"/>
          <w:szCs w:val="22"/>
        </w:rPr>
        <w:t>(Leiden, 2012)</w:t>
      </w:r>
    </w:p>
    <w:p w14:paraId="5FFEB34D" w14:textId="77777777" w:rsidR="00A901DD" w:rsidRPr="0017637C" w:rsidRDefault="00A901DD" w:rsidP="00C043AA">
      <w:pPr>
        <w:pStyle w:val="NormalWeb"/>
        <w:rPr>
          <w:sz w:val="22"/>
          <w:szCs w:val="22"/>
        </w:rPr>
      </w:pPr>
      <w:proofErr w:type="spellStart"/>
      <w:r w:rsidRPr="0017637C">
        <w:rPr>
          <w:sz w:val="22"/>
          <w:szCs w:val="22"/>
        </w:rPr>
        <w:t>Kewes</w:t>
      </w:r>
      <w:proofErr w:type="spellEnd"/>
      <w:r w:rsidRPr="0017637C">
        <w:rPr>
          <w:sz w:val="22"/>
          <w:szCs w:val="22"/>
        </w:rPr>
        <w:t xml:space="preserve">, P., ‘“A Fit Memorial for the Times to </w:t>
      </w:r>
      <w:proofErr w:type="gramStart"/>
      <w:r w:rsidRPr="0017637C">
        <w:rPr>
          <w:sz w:val="22"/>
          <w:szCs w:val="22"/>
        </w:rPr>
        <w:t>Come?…</w:t>
      </w:r>
      <w:proofErr w:type="gramEnd"/>
      <w:r w:rsidRPr="0017637C">
        <w:rPr>
          <w:sz w:val="22"/>
          <w:szCs w:val="22"/>
        </w:rPr>
        <w:t xml:space="preserve">”: Admonition and Topical Application in Mary Sidney's </w:t>
      </w:r>
      <w:r w:rsidRPr="0017637C">
        <w:rPr>
          <w:i/>
          <w:sz w:val="22"/>
          <w:szCs w:val="22"/>
        </w:rPr>
        <w:t>Antonius</w:t>
      </w:r>
      <w:r w:rsidRPr="0017637C">
        <w:rPr>
          <w:sz w:val="22"/>
          <w:szCs w:val="22"/>
        </w:rPr>
        <w:t xml:space="preserve"> and Samuel Daniel's’ </w:t>
      </w:r>
      <w:r w:rsidRPr="0017637C">
        <w:rPr>
          <w:i/>
          <w:sz w:val="22"/>
          <w:szCs w:val="22"/>
        </w:rPr>
        <w:t>Cleopatra</w:t>
      </w:r>
      <w:r w:rsidRPr="0017637C">
        <w:rPr>
          <w:sz w:val="22"/>
          <w:szCs w:val="22"/>
        </w:rPr>
        <w:t xml:space="preserve">’, </w:t>
      </w:r>
      <w:r w:rsidRPr="0017637C">
        <w:rPr>
          <w:i/>
          <w:sz w:val="22"/>
          <w:szCs w:val="22"/>
        </w:rPr>
        <w:t>The Review of English Studies</w:t>
      </w:r>
      <w:r w:rsidRPr="0017637C">
        <w:rPr>
          <w:sz w:val="22"/>
          <w:szCs w:val="22"/>
        </w:rPr>
        <w:t>, 63/259 (2012), pp. 243-64</w:t>
      </w:r>
    </w:p>
    <w:p w14:paraId="49316FC2" w14:textId="77777777" w:rsidR="00A901DD" w:rsidRPr="0017637C" w:rsidRDefault="00A901DD" w:rsidP="00C043AA">
      <w:pPr>
        <w:pStyle w:val="NormalWeb"/>
        <w:rPr>
          <w:sz w:val="22"/>
          <w:szCs w:val="22"/>
        </w:rPr>
      </w:pPr>
      <w:proofErr w:type="spellStart"/>
      <w:r w:rsidRPr="0017637C">
        <w:rPr>
          <w:sz w:val="22"/>
          <w:szCs w:val="22"/>
        </w:rPr>
        <w:t>Kewes</w:t>
      </w:r>
      <w:proofErr w:type="spellEnd"/>
      <w:r w:rsidRPr="0017637C">
        <w:rPr>
          <w:sz w:val="22"/>
          <w:szCs w:val="22"/>
        </w:rPr>
        <w:t xml:space="preserve">, P., ‘Godly Queens: The Royal Iconographies of Mary and Elizabeth’ in A. Whitlock and A. Hunt (ed.), </w:t>
      </w:r>
      <w:r w:rsidRPr="0017637C">
        <w:rPr>
          <w:i/>
          <w:sz w:val="22"/>
          <w:szCs w:val="22"/>
        </w:rPr>
        <w:t>Tudor Queenship: the reigns of Mary and Elizabeth</w:t>
      </w:r>
      <w:r w:rsidRPr="0017637C">
        <w:rPr>
          <w:sz w:val="22"/>
          <w:szCs w:val="22"/>
        </w:rPr>
        <w:t xml:space="preserve"> (Basingstoke, 2010), pp. 47-62</w:t>
      </w:r>
    </w:p>
    <w:p w14:paraId="089936B4" w14:textId="77777777" w:rsidR="00A901DD" w:rsidRPr="0017637C" w:rsidRDefault="00A901DD" w:rsidP="00C043AA">
      <w:pPr>
        <w:pStyle w:val="NormalWeb"/>
        <w:rPr>
          <w:color w:val="000000"/>
          <w:sz w:val="22"/>
          <w:szCs w:val="22"/>
        </w:rPr>
      </w:pPr>
      <w:proofErr w:type="spellStart"/>
      <w:r w:rsidRPr="0017637C">
        <w:rPr>
          <w:color w:val="000000"/>
          <w:sz w:val="22"/>
          <w:szCs w:val="22"/>
        </w:rPr>
        <w:t>Kewes</w:t>
      </w:r>
      <w:proofErr w:type="spellEnd"/>
      <w:r w:rsidRPr="0017637C">
        <w:rPr>
          <w:color w:val="000000"/>
          <w:sz w:val="22"/>
          <w:szCs w:val="22"/>
        </w:rPr>
        <w:t xml:space="preserve">, P., ‘Marlowe, history and politics’ in E. Bartels and E. Smith (ed.), </w:t>
      </w:r>
      <w:r w:rsidRPr="0017637C">
        <w:rPr>
          <w:i/>
          <w:color w:val="000000"/>
          <w:sz w:val="22"/>
          <w:szCs w:val="22"/>
        </w:rPr>
        <w:t>Christopher Marlowe in Context</w:t>
      </w:r>
      <w:r w:rsidRPr="0017637C">
        <w:rPr>
          <w:color w:val="000000"/>
          <w:sz w:val="22"/>
          <w:szCs w:val="22"/>
        </w:rPr>
        <w:t xml:space="preserve"> (Cambridge, 2013), pp. 138-54</w:t>
      </w:r>
    </w:p>
    <w:p w14:paraId="78D446F8" w14:textId="77777777" w:rsidR="00A901DD" w:rsidRPr="0017637C" w:rsidRDefault="00A901DD" w:rsidP="00C043AA">
      <w:pPr>
        <w:pStyle w:val="NormalWeb"/>
        <w:rPr>
          <w:color w:val="000000"/>
          <w:sz w:val="22"/>
          <w:szCs w:val="22"/>
        </w:rPr>
      </w:pPr>
      <w:proofErr w:type="spellStart"/>
      <w:r w:rsidRPr="0017637C">
        <w:rPr>
          <w:color w:val="000000"/>
          <w:sz w:val="22"/>
          <w:szCs w:val="22"/>
        </w:rPr>
        <w:t>Kewes</w:t>
      </w:r>
      <w:proofErr w:type="spellEnd"/>
      <w:r w:rsidRPr="0017637C">
        <w:rPr>
          <w:color w:val="000000"/>
          <w:sz w:val="22"/>
          <w:szCs w:val="22"/>
        </w:rPr>
        <w:t xml:space="preserve">, P., ‘Roman History, Essex, and Late Elizabethan Political Culture’ in M. Smuts (ed.), </w:t>
      </w:r>
      <w:r w:rsidRPr="0017637C">
        <w:rPr>
          <w:i/>
          <w:color w:val="000000"/>
          <w:sz w:val="22"/>
          <w:szCs w:val="22"/>
        </w:rPr>
        <w:t>The Oxford Handbook to the Age of Shakespeare</w:t>
      </w:r>
      <w:r w:rsidRPr="0017637C">
        <w:rPr>
          <w:color w:val="000000"/>
          <w:sz w:val="22"/>
          <w:szCs w:val="22"/>
        </w:rPr>
        <w:t xml:space="preserve"> (Oxford, 2016), pp. 250-68</w:t>
      </w:r>
    </w:p>
    <w:p w14:paraId="02B37F0D" w14:textId="77777777" w:rsidR="00A901DD" w:rsidRPr="0017637C" w:rsidRDefault="00A901DD" w:rsidP="00C043AA">
      <w:pPr>
        <w:pStyle w:val="NormalWeb"/>
        <w:rPr>
          <w:color w:val="000000"/>
          <w:sz w:val="22"/>
          <w:szCs w:val="22"/>
        </w:rPr>
      </w:pPr>
      <w:r w:rsidRPr="0017637C">
        <w:rPr>
          <w:color w:val="000000"/>
          <w:sz w:val="22"/>
          <w:szCs w:val="22"/>
        </w:rPr>
        <w:t xml:space="preserve">Kinney, C., ‘Epic Transgression and the Framing of Agency in </w:t>
      </w:r>
      <w:r w:rsidRPr="0017637C">
        <w:rPr>
          <w:i/>
          <w:color w:val="000000"/>
          <w:sz w:val="22"/>
          <w:szCs w:val="22"/>
        </w:rPr>
        <w:t>Dido Queen of Carthage</w:t>
      </w:r>
      <w:r w:rsidRPr="0017637C">
        <w:rPr>
          <w:color w:val="000000"/>
          <w:sz w:val="22"/>
          <w:szCs w:val="22"/>
        </w:rPr>
        <w:t xml:space="preserve">’, </w:t>
      </w:r>
      <w:r w:rsidRPr="0017637C">
        <w:rPr>
          <w:i/>
          <w:color w:val="000000"/>
          <w:sz w:val="22"/>
          <w:szCs w:val="22"/>
        </w:rPr>
        <w:t>Studies in English Literature</w:t>
      </w:r>
      <w:r w:rsidRPr="0017637C">
        <w:rPr>
          <w:color w:val="000000"/>
          <w:sz w:val="22"/>
          <w:szCs w:val="22"/>
        </w:rPr>
        <w:t>, 40/2 (2000), pp. 261-76</w:t>
      </w:r>
    </w:p>
    <w:p w14:paraId="3B1DB904" w14:textId="77777777" w:rsidR="00A901DD" w:rsidRPr="0017637C" w:rsidRDefault="00A901DD" w:rsidP="00C043AA">
      <w:pPr>
        <w:pStyle w:val="NormalWeb"/>
        <w:rPr>
          <w:sz w:val="22"/>
          <w:szCs w:val="22"/>
          <w:lang w:val="en-GB"/>
        </w:rPr>
      </w:pPr>
      <w:r w:rsidRPr="0017637C">
        <w:rPr>
          <w:sz w:val="22"/>
          <w:szCs w:val="22"/>
          <w:lang w:val="en-GB"/>
        </w:rPr>
        <w:t xml:space="preserve">Lake, P., </w:t>
      </w:r>
      <w:r w:rsidRPr="0017637C">
        <w:rPr>
          <w:i/>
          <w:sz w:val="22"/>
          <w:szCs w:val="22"/>
          <w:lang w:val="en-GB"/>
        </w:rPr>
        <w:t>How Shakespeare Put Politics on the Stage</w:t>
      </w:r>
      <w:r w:rsidRPr="0017637C">
        <w:rPr>
          <w:sz w:val="22"/>
          <w:szCs w:val="22"/>
          <w:lang w:val="en-GB"/>
        </w:rPr>
        <w:t xml:space="preserve"> (New Haven, 2016)</w:t>
      </w:r>
    </w:p>
    <w:p w14:paraId="7E4F9722" w14:textId="77777777" w:rsidR="00A901DD" w:rsidRPr="0017637C" w:rsidRDefault="00A901DD" w:rsidP="00C043AA">
      <w:pPr>
        <w:pStyle w:val="NormalWeb"/>
        <w:rPr>
          <w:sz w:val="22"/>
          <w:szCs w:val="22"/>
        </w:rPr>
      </w:pPr>
      <w:r w:rsidRPr="0017637C">
        <w:rPr>
          <w:color w:val="000000"/>
          <w:sz w:val="22"/>
          <w:szCs w:val="22"/>
        </w:rPr>
        <w:t xml:space="preserve">Lake, P., </w:t>
      </w:r>
      <w:r w:rsidRPr="0017637C">
        <w:rPr>
          <w:sz w:val="22"/>
          <w:szCs w:val="22"/>
        </w:rPr>
        <w:t xml:space="preserve">‘“The Monarchical Republic of Queen Elizabeth I” (and the Fall of Archbishop </w:t>
      </w:r>
      <w:proofErr w:type="spellStart"/>
      <w:r w:rsidRPr="0017637C">
        <w:rPr>
          <w:sz w:val="22"/>
          <w:szCs w:val="22"/>
        </w:rPr>
        <w:t>Grindal</w:t>
      </w:r>
      <w:proofErr w:type="spellEnd"/>
      <w:r w:rsidRPr="0017637C">
        <w:rPr>
          <w:sz w:val="22"/>
          <w:szCs w:val="22"/>
        </w:rPr>
        <w:t xml:space="preserve">) Revisited’ in J. </w:t>
      </w:r>
      <w:proofErr w:type="spellStart"/>
      <w:r w:rsidRPr="0017637C">
        <w:rPr>
          <w:sz w:val="22"/>
          <w:szCs w:val="22"/>
        </w:rPr>
        <w:t>McDiarmid</w:t>
      </w:r>
      <w:proofErr w:type="spellEnd"/>
      <w:r w:rsidRPr="0017637C">
        <w:rPr>
          <w:sz w:val="22"/>
          <w:szCs w:val="22"/>
        </w:rPr>
        <w:t xml:space="preserve"> (ed.) </w:t>
      </w:r>
      <w:r w:rsidRPr="0017637C">
        <w:rPr>
          <w:i/>
          <w:sz w:val="22"/>
          <w:szCs w:val="22"/>
        </w:rPr>
        <w:t>The Monarchical Republic of Early Modern England: essays in response to Patrick Collinson</w:t>
      </w:r>
      <w:r w:rsidRPr="0017637C">
        <w:rPr>
          <w:sz w:val="22"/>
          <w:szCs w:val="22"/>
        </w:rPr>
        <w:t xml:space="preserve"> (</w:t>
      </w:r>
      <w:proofErr w:type="spellStart"/>
      <w:r w:rsidRPr="0017637C">
        <w:rPr>
          <w:sz w:val="22"/>
          <w:szCs w:val="22"/>
        </w:rPr>
        <w:t>Aldershot</w:t>
      </w:r>
      <w:proofErr w:type="spellEnd"/>
      <w:r w:rsidRPr="0017637C">
        <w:rPr>
          <w:sz w:val="22"/>
          <w:szCs w:val="22"/>
        </w:rPr>
        <w:t>, 2007), pp. 129-47</w:t>
      </w:r>
    </w:p>
    <w:p w14:paraId="4E65EB89" w14:textId="77777777" w:rsidR="00A901DD" w:rsidRPr="0017637C" w:rsidRDefault="00A901DD" w:rsidP="00C043AA">
      <w:pPr>
        <w:pStyle w:val="NormalWeb"/>
        <w:rPr>
          <w:sz w:val="22"/>
          <w:szCs w:val="22"/>
        </w:rPr>
      </w:pPr>
      <w:r w:rsidRPr="0017637C">
        <w:rPr>
          <w:sz w:val="22"/>
          <w:szCs w:val="22"/>
        </w:rPr>
        <w:t xml:space="preserve">Lake, P. and Pincus, S., ‘Rethinking the Public Sphere in Early Modern England’ in P. Lake and S. Pincus (ed.), </w:t>
      </w:r>
      <w:r w:rsidRPr="0017637C">
        <w:rPr>
          <w:i/>
          <w:sz w:val="22"/>
          <w:szCs w:val="22"/>
        </w:rPr>
        <w:t>The Politics of the Public Sphere in Early Modern England</w:t>
      </w:r>
      <w:r w:rsidRPr="0017637C">
        <w:rPr>
          <w:sz w:val="22"/>
          <w:szCs w:val="22"/>
        </w:rPr>
        <w:t xml:space="preserve"> (Manchester, 2007), pp. 1-30</w:t>
      </w:r>
    </w:p>
    <w:p w14:paraId="3709CE19" w14:textId="77777777" w:rsidR="00A901DD" w:rsidRPr="0017637C" w:rsidRDefault="00A901DD" w:rsidP="00C043AA">
      <w:pPr>
        <w:pStyle w:val="NormalWeb"/>
        <w:rPr>
          <w:sz w:val="22"/>
          <w:szCs w:val="22"/>
        </w:rPr>
      </w:pPr>
      <w:r w:rsidRPr="0017637C">
        <w:rPr>
          <w:color w:val="000000"/>
          <w:sz w:val="22"/>
          <w:szCs w:val="22"/>
        </w:rPr>
        <w:t xml:space="preserve">Lamb, M., </w:t>
      </w:r>
      <w:r w:rsidRPr="0017637C">
        <w:rPr>
          <w:i/>
          <w:sz w:val="22"/>
          <w:szCs w:val="22"/>
        </w:rPr>
        <w:t>Gender and Authorship in the Sidney Circle</w:t>
      </w:r>
      <w:r w:rsidRPr="0017637C">
        <w:rPr>
          <w:sz w:val="22"/>
          <w:szCs w:val="22"/>
        </w:rPr>
        <w:t xml:space="preserve"> (Wisconsin, 1990)</w:t>
      </w:r>
    </w:p>
    <w:p w14:paraId="0E345B12" w14:textId="77777777" w:rsidR="00A901DD" w:rsidRPr="0017637C" w:rsidRDefault="00A901DD" w:rsidP="00C043AA">
      <w:pPr>
        <w:pStyle w:val="NormalWeb"/>
        <w:rPr>
          <w:color w:val="000000"/>
          <w:sz w:val="22"/>
          <w:szCs w:val="22"/>
        </w:rPr>
      </w:pPr>
      <w:r w:rsidRPr="0017637C">
        <w:rPr>
          <w:color w:val="000000"/>
          <w:sz w:val="22"/>
          <w:szCs w:val="22"/>
        </w:rPr>
        <w:t xml:space="preserve">Leavenworth, R., </w:t>
      </w:r>
      <w:r w:rsidRPr="0017637C">
        <w:rPr>
          <w:i/>
          <w:color w:val="000000"/>
          <w:sz w:val="22"/>
          <w:szCs w:val="22"/>
        </w:rPr>
        <w:t>Daniel’s Cleopatra: A Critical Study</w:t>
      </w:r>
      <w:r w:rsidRPr="0017637C">
        <w:rPr>
          <w:color w:val="000000"/>
          <w:sz w:val="22"/>
          <w:szCs w:val="22"/>
        </w:rPr>
        <w:t xml:space="preserve"> (Salzburg, 1974)</w:t>
      </w:r>
    </w:p>
    <w:p w14:paraId="099667AE" w14:textId="77777777" w:rsidR="00A901DD" w:rsidRPr="0017637C" w:rsidRDefault="00A901DD" w:rsidP="00C043AA">
      <w:pPr>
        <w:pStyle w:val="NormalWeb"/>
        <w:rPr>
          <w:sz w:val="22"/>
          <w:szCs w:val="22"/>
        </w:rPr>
      </w:pPr>
      <w:r w:rsidRPr="0017637C">
        <w:rPr>
          <w:color w:val="000000"/>
          <w:sz w:val="22"/>
          <w:szCs w:val="22"/>
        </w:rPr>
        <w:t>McLaren, A., ‘Memorializing Mary and Elizabeth’</w:t>
      </w:r>
      <w:r w:rsidRPr="0017637C">
        <w:rPr>
          <w:sz w:val="22"/>
          <w:szCs w:val="22"/>
        </w:rPr>
        <w:t xml:space="preserve"> in A. Whitlock and A. Hunt (ed.), </w:t>
      </w:r>
      <w:r w:rsidRPr="0017637C">
        <w:rPr>
          <w:i/>
          <w:sz w:val="22"/>
          <w:szCs w:val="22"/>
        </w:rPr>
        <w:t>Tudor Queenship: the reigns of Mary and Elizabeth</w:t>
      </w:r>
      <w:r w:rsidRPr="0017637C">
        <w:rPr>
          <w:sz w:val="22"/>
          <w:szCs w:val="22"/>
        </w:rPr>
        <w:t xml:space="preserve"> (Basingstoke, 2010), pp. 11-27</w:t>
      </w:r>
    </w:p>
    <w:p w14:paraId="6A144325" w14:textId="77777777" w:rsidR="00A901DD" w:rsidRPr="0017637C" w:rsidRDefault="00A901DD" w:rsidP="00C043AA">
      <w:pPr>
        <w:pStyle w:val="NormalWeb"/>
        <w:rPr>
          <w:color w:val="000000"/>
          <w:sz w:val="22"/>
          <w:szCs w:val="22"/>
        </w:rPr>
      </w:pPr>
      <w:r w:rsidRPr="0017637C">
        <w:rPr>
          <w:color w:val="000000"/>
          <w:sz w:val="22"/>
          <w:szCs w:val="22"/>
        </w:rPr>
        <w:t xml:space="preserve">McLaren, A., </w:t>
      </w:r>
      <w:r w:rsidRPr="0017637C">
        <w:rPr>
          <w:i/>
          <w:sz w:val="22"/>
          <w:szCs w:val="22"/>
        </w:rPr>
        <w:t>Political Culture in the Reign of Elizabeth I: Queen and Commonwealth 1558-1585</w:t>
      </w:r>
      <w:r w:rsidRPr="0017637C">
        <w:rPr>
          <w:sz w:val="22"/>
          <w:szCs w:val="22"/>
        </w:rPr>
        <w:t xml:space="preserve"> (Cambridge, 1999)</w:t>
      </w:r>
    </w:p>
    <w:p w14:paraId="2660C07A" w14:textId="77777777" w:rsidR="00A901DD" w:rsidRPr="0017637C" w:rsidRDefault="00A901DD" w:rsidP="00C043AA">
      <w:pPr>
        <w:pStyle w:val="NormalWeb"/>
        <w:rPr>
          <w:sz w:val="22"/>
          <w:szCs w:val="22"/>
        </w:rPr>
      </w:pPr>
      <w:r w:rsidRPr="0017637C">
        <w:rPr>
          <w:color w:val="000000"/>
          <w:sz w:val="22"/>
          <w:szCs w:val="22"/>
        </w:rPr>
        <w:t xml:space="preserve">Miles, G., </w:t>
      </w:r>
      <w:r w:rsidRPr="0017637C">
        <w:rPr>
          <w:i/>
          <w:sz w:val="22"/>
          <w:szCs w:val="22"/>
        </w:rPr>
        <w:t>Shakespeare and the Constant Romans</w:t>
      </w:r>
      <w:r w:rsidRPr="0017637C">
        <w:rPr>
          <w:sz w:val="22"/>
          <w:szCs w:val="22"/>
        </w:rPr>
        <w:t xml:space="preserve"> (Oxford, 1996)</w:t>
      </w:r>
    </w:p>
    <w:p w14:paraId="68C4E095" w14:textId="77777777" w:rsidR="00A901DD" w:rsidRPr="0017637C" w:rsidRDefault="00A901DD" w:rsidP="00C043AA">
      <w:pPr>
        <w:pStyle w:val="NormalWeb"/>
        <w:rPr>
          <w:sz w:val="22"/>
          <w:szCs w:val="22"/>
        </w:rPr>
      </w:pPr>
      <w:proofErr w:type="spellStart"/>
      <w:r w:rsidRPr="0017637C">
        <w:rPr>
          <w:sz w:val="22"/>
          <w:szCs w:val="22"/>
        </w:rPr>
        <w:lastRenderedPageBreak/>
        <w:t>Miola</w:t>
      </w:r>
      <w:proofErr w:type="spellEnd"/>
      <w:r w:rsidRPr="0017637C">
        <w:rPr>
          <w:sz w:val="22"/>
          <w:szCs w:val="22"/>
        </w:rPr>
        <w:t xml:space="preserve">, R., </w:t>
      </w:r>
      <w:r w:rsidRPr="0017637C">
        <w:rPr>
          <w:i/>
          <w:sz w:val="22"/>
          <w:szCs w:val="22"/>
        </w:rPr>
        <w:t>Shakespeare and Classical Tragedy: The Influence of Seneca</w:t>
      </w:r>
      <w:r w:rsidRPr="0017637C">
        <w:rPr>
          <w:sz w:val="22"/>
          <w:szCs w:val="22"/>
        </w:rPr>
        <w:t xml:space="preserve"> (Oxford, 1992)</w:t>
      </w:r>
    </w:p>
    <w:p w14:paraId="63E8B348" w14:textId="77777777" w:rsidR="00A901DD" w:rsidRPr="0017637C" w:rsidRDefault="00A901DD" w:rsidP="00C043AA">
      <w:pPr>
        <w:pStyle w:val="NormalWeb"/>
        <w:rPr>
          <w:sz w:val="22"/>
          <w:szCs w:val="22"/>
          <w:lang w:val="en-GB"/>
        </w:rPr>
      </w:pPr>
      <w:proofErr w:type="spellStart"/>
      <w:r w:rsidRPr="0017637C">
        <w:rPr>
          <w:sz w:val="22"/>
          <w:szCs w:val="22"/>
          <w:lang w:val="en-GB"/>
        </w:rPr>
        <w:t>Norbrook</w:t>
      </w:r>
      <w:proofErr w:type="spellEnd"/>
      <w:r w:rsidRPr="0017637C">
        <w:rPr>
          <w:sz w:val="22"/>
          <w:szCs w:val="22"/>
          <w:lang w:val="en-GB"/>
        </w:rPr>
        <w:t xml:space="preserve">, D., </w:t>
      </w:r>
      <w:r w:rsidRPr="0017637C">
        <w:rPr>
          <w:i/>
          <w:sz w:val="22"/>
          <w:szCs w:val="22"/>
          <w:lang w:val="en-GB"/>
        </w:rPr>
        <w:t>Poetry and Politics in the English Renaissance</w:t>
      </w:r>
      <w:r w:rsidRPr="0017637C">
        <w:rPr>
          <w:sz w:val="22"/>
          <w:szCs w:val="22"/>
          <w:lang w:val="en-GB"/>
        </w:rPr>
        <w:t xml:space="preserve"> (London, 1984)</w:t>
      </w:r>
    </w:p>
    <w:p w14:paraId="7132B45C" w14:textId="77777777" w:rsidR="00A901DD" w:rsidRPr="0017637C" w:rsidRDefault="00A901DD" w:rsidP="00C043AA">
      <w:pPr>
        <w:pStyle w:val="NormalWeb"/>
        <w:rPr>
          <w:sz w:val="22"/>
          <w:szCs w:val="22"/>
        </w:rPr>
      </w:pPr>
      <w:r w:rsidRPr="0017637C">
        <w:rPr>
          <w:color w:val="000000"/>
          <w:sz w:val="22"/>
          <w:szCs w:val="22"/>
        </w:rPr>
        <w:t xml:space="preserve">Nyquist, M., </w:t>
      </w:r>
      <w:r w:rsidRPr="0017637C">
        <w:rPr>
          <w:sz w:val="22"/>
          <w:szCs w:val="22"/>
        </w:rPr>
        <w:t xml:space="preserve">‘“Profuse, proud Cleopatra”: “Barbarism” and Female Rule in Early Modern English Republicanism’, </w:t>
      </w:r>
      <w:r w:rsidRPr="0017637C">
        <w:rPr>
          <w:i/>
          <w:sz w:val="22"/>
          <w:szCs w:val="22"/>
        </w:rPr>
        <w:t>Women’s Studies</w:t>
      </w:r>
      <w:r w:rsidRPr="0017637C">
        <w:rPr>
          <w:sz w:val="22"/>
          <w:szCs w:val="22"/>
        </w:rPr>
        <w:t>, 24/1-2 (1994), pp. 85-130</w:t>
      </w:r>
    </w:p>
    <w:p w14:paraId="413E1A25" w14:textId="77777777" w:rsidR="00A901DD" w:rsidRPr="0017637C" w:rsidRDefault="00A901DD" w:rsidP="00C043AA">
      <w:pPr>
        <w:pStyle w:val="NormalWeb"/>
        <w:rPr>
          <w:color w:val="000000"/>
          <w:sz w:val="22"/>
          <w:szCs w:val="22"/>
        </w:rPr>
      </w:pPr>
      <w:r w:rsidRPr="0017637C">
        <w:rPr>
          <w:color w:val="000000"/>
          <w:sz w:val="22"/>
          <w:szCs w:val="22"/>
        </w:rPr>
        <w:t xml:space="preserve">Patterson, A., </w:t>
      </w:r>
      <w:r w:rsidRPr="0017637C">
        <w:rPr>
          <w:i/>
          <w:color w:val="000000"/>
          <w:sz w:val="22"/>
          <w:szCs w:val="22"/>
        </w:rPr>
        <w:t>Censorship and Interpretation: The Conditions of Writing and Reading in Early Modern England</w:t>
      </w:r>
      <w:r w:rsidRPr="0017637C">
        <w:rPr>
          <w:color w:val="000000"/>
          <w:sz w:val="22"/>
          <w:szCs w:val="22"/>
        </w:rPr>
        <w:t xml:space="preserve"> (Wisconsin, 1984)</w:t>
      </w:r>
    </w:p>
    <w:p w14:paraId="067DC680" w14:textId="77777777" w:rsidR="00A901DD" w:rsidRPr="0017637C" w:rsidRDefault="00A901DD" w:rsidP="00C043AA">
      <w:pPr>
        <w:pStyle w:val="NormalWeb"/>
        <w:rPr>
          <w:color w:val="000000"/>
          <w:sz w:val="22"/>
          <w:szCs w:val="22"/>
        </w:rPr>
      </w:pPr>
      <w:r w:rsidRPr="0017637C">
        <w:rPr>
          <w:color w:val="000000"/>
          <w:sz w:val="22"/>
          <w:szCs w:val="22"/>
        </w:rPr>
        <w:t xml:space="preserve">Perry, C., ‘The Uneasy Republicanism of Thomas Kyd’s </w:t>
      </w:r>
      <w:r w:rsidRPr="0017637C">
        <w:rPr>
          <w:i/>
          <w:color w:val="000000"/>
          <w:sz w:val="22"/>
          <w:szCs w:val="22"/>
        </w:rPr>
        <w:t>Cornelia</w:t>
      </w:r>
      <w:r w:rsidRPr="0017637C">
        <w:rPr>
          <w:color w:val="000000"/>
          <w:sz w:val="22"/>
          <w:szCs w:val="22"/>
        </w:rPr>
        <w:t xml:space="preserve">, </w:t>
      </w:r>
      <w:r w:rsidRPr="0017637C">
        <w:rPr>
          <w:i/>
          <w:color w:val="000000"/>
          <w:sz w:val="22"/>
          <w:szCs w:val="22"/>
        </w:rPr>
        <w:t>Criticism</w:t>
      </w:r>
      <w:r w:rsidRPr="0017637C">
        <w:rPr>
          <w:color w:val="000000"/>
          <w:sz w:val="22"/>
          <w:szCs w:val="22"/>
        </w:rPr>
        <w:t>, 48/4 (2006), pp. 535-55</w:t>
      </w:r>
    </w:p>
    <w:p w14:paraId="2234D3CD" w14:textId="77777777" w:rsidR="00A901DD" w:rsidRPr="0017637C" w:rsidRDefault="00A901DD" w:rsidP="00C043AA">
      <w:pPr>
        <w:pStyle w:val="NormalWeb"/>
        <w:rPr>
          <w:color w:val="000000"/>
          <w:sz w:val="22"/>
          <w:szCs w:val="22"/>
        </w:rPr>
      </w:pPr>
      <w:proofErr w:type="spellStart"/>
      <w:r w:rsidRPr="0017637C">
        <w:rPr>
          <w:color w:val="000000"/>
          <w:sz w:val="22"/>
          <w:szCs w:val="22"/>
        </w:rPr>
        <w:t>Peltonen</w:t>
      </w:r>
      <w:proofErr w:type="spellEnd"/>
      <w:r w:rsidRPr="0017637C">
        <w:rPr>
          <w:color w:val="000000"/>
          <w:sz w:val="22"/>
          <w:szCs w:val="22"/>
        </w:rPr>
        <w:t xml:space="preserve">, M., </w:t>
      </w:r>
      <w:r w:rsidRPr="0017637C">
        <w:rPr>
          <w:i/>
          <w:color w:val="000000"/>
          <w:sz w:val="22"/>
          <w:szCs w:val="22"/>
        </w:rPr>
        <w:t>Classical Humanism and Republicanism in English Political Thought: 1570-1640</w:t>
      </w:r>
      <w:r w:rsidRPr="0017637C">
        <w:rPr>
          <w:color w:val="000000"/>
          <w:sz w:val="22"/>
          <w:szCs w:val="22"/>
        </w:rPr>
        <w:t xml:space="preserve"> (Cambridge, 1995)</w:t>
      </w:r>
    </w:p>
    <w:p w14:paraId="5FAE14E5" w14:textId="77777777" w:rsidR="00A901DD" w:rsidRPr="0017637C" w:rsidRDefault="00A901DD" w:rsidP="00C043AA">
      <w:pPr>
        <w:pStyle w:val="NormalWeb"/>
        <w:rPr>
          <w:color w:val="000000"/>
          <w:sz w:val="22"/>
          <w:szCs w:val="22"/>
        </w:rPr>
      </w:pPr>
      <w:proofErr w:type="spellStart"/>
      <w:r w:rsidRPr="0017637C">
        <w:rPr>
          <w:color w:val="000000"/>
          <w:sz w:val="22"/>
          <w:szCs w:val="22"/>
        </w:rPr>
        <w:t>Peltonen</w:t>
      </w:r>
      <w:proofErr w:type="spellEnd"/>
      <w:r w:rsidRPr="0017637C">
        <w:rPr>
          <w:color w:val="000000"/>
          <w:sz w:val="22"/>
          <w:szCs w:val="22"/>
        </w:rPr>
        <w:t xml:space="preserve">, M., ‘Virtues in Elizabethan and Early Stuart Grammar Schools’, </w:t>
      </w:r>
      <w:r w:rsidRPr="0017637C">
        <w:rPr>
          <w:i/>
          <w:color w:val="000000"/>
          <w:sz w:val="22"/>
          <w:szCs w:val="22"/>
        </w:rPr>
        <w:t>Journal of Medieval and Early Modern Studies</w:t>
      </w:r>
      <w:r w:rsidRPr="0017637C">
        <w:rPr>
          <w:color w:val="000000"/>
          <w:sz w:val="22"/>
          <w:szCs w:val="22"/>
        </w:rPr>
        <w:t>, 42/1 (2012), pp. 157-79</w:t>
      </w:r>
    </w:p>
    <w:p w14:paraId="34648296" w14:textId="77777777" w:rsidR="00A901DD" w:rsidRPr="0017637C" w:rsidRDefault="00A901DD" w:rsidP="00C043AA">
      <w:pPr>
        <w:pStyle w:val="NormalWeb"/>
        <w:rPr>
          <w:sz w:val="22"/>
          <w:szCs w:val="22"/>
        </w:rPr>
      </w:pPr>
      <w:proofErr w:type="spellStart"/>
      <w:r w:rsidRPr="0017637C">
        <w:rPr>
          <w:color w:val="000000"/>
          <w:sz w:val="22"/>
          <w:szCs w:val="22"/>
        </w:rPr>
        <w:t>Pollnitz</w:t>
      </w:r>
      <w:proofErr w:type="spellEnd"/>
      <w:r w:rsidRPr="0017637C">
        <w:rPr>
          <w:color w:val="000000"/>
          <w:sz w:val="22"/>
          <w:szCs w:val="22"/>
        </w:rPr>
        <w:t>, A., ‘Christian Women or Sovereign Queens? The schooling of Mary and Elizabeth’</w:t>
      </w:r>
      <w:r w:rsidRPr="0017637C">
        <w:rPr>
          <w:sz w:val="22"/>
          <w:szCs w:val="22"/>
        </w:rPr>
        <w:t xml:space="preserve"> in A. Whitlock and A. Hunt (ed.), </w:t>
      </w:r>
      <w:r w:rsidRPr="0017637C">
        <w:rPr>
          <w:i/>
          <w:sz w:val="22"/>
          <w:szCs w:val="22"/>
        </w:rPr>
        <w:t>Tudor Queenship: the reigns of Mary and Elizabeth</w:t>
      </w:r>
      <w:r w:rsidRPr="0017637C">
        <w:rPr>
          <w:sz w:val="22"/>
          <w:szCs w:val="22"/>
        </w:rPr>
        <w:t xml:space="preserve"> (Basingstoke, 2010), pp. 127-42</w:t>
      </w:r>
    </w:p>
    <w:p w14:paraId="0EF295D4" w14:textId="77777777" w:rsidR="00A901DD" w:rsidRPr="0017637C" w:rsidRDefault="00A901DD" w:rsidP="00C043AA">
      <w:pPr>
        <w:pStyle w:val="NormalWeb"/>
        <w:rPr>
          <w:color w:val="000000"/>
          <w:sz w:val="22"/>
          <w:szCs w:val="22"/>
        </w:rPr>
      </w:pPr>
      <w:r w:rsidRPr="0017637C">
        <w:rPr>
          <w:color w:val="000000"/>
          <w:sz w:val="22"/>
          <w:szCs w:val="22"/>
        </w:rPr>
        <w:t xml:space="preserve">Pugh, S., ‘Marlowe and classical literature’ in E. Bartels and E. Smith (ed.), </w:t>
      </w:r>
      <w:r w:rsidRPr="0017637C">
        <w:rPr>
          <w:i/>
          <w:color w:val="000000"/>
          <w:sz w:val="22"/>
          <w:szCs w:val="22"/>
        </w:rPr>
        <w:t>Christopher Marlowe in Context</w:t>
      </w:r>
      <w:r w:rsidRPr="0017637C">
        <w:rPr>
          <w:color w:val="000000"/>
          <w:sz w:val="22"/>
          <w:szCs w:val="22"/>
        </w:rPr>
        <w:t xml:space="preserve"> (Cambridge, 2013), pp. 80-9</w:t>
      </w:r>
    </w:p>
    <w:p w14:paraId="0B6A979F" w14:textId="77777777" w:rsidR="00A901DD" w:rsidRPr="0017637C" w:rsidRDefault="00A901DD" w:rsidP="00C043AA">
      <w:pPr>
        <w:pStyle w:val="NormalWeb"/>
        <w:rPr>
          <w:color w:val="000000"/>
          <w:sz w:val="22"/>
          <w:szCs w:val="22"/>
        </w:rPr>
      </w:pPr>
      <w:proofErr w:type="spellStart"/>
      <w:r w:rsidRPr="0017637C">
        <w:rPr>
          <w:color w:val="000000"/>
          <w:sz w:val="22"/>
          <w:szCs w:val="22"/>
        </w:rPr>
        <w:t>Raber</w:t>
      </w:r>
      <w:proofErr w:type="spellEnd"/>
      <w:r w:rsidRPr="0017637C">
        <w:rPr>
          <w:color w:val="000000"/>
          <w:sz w:val="22"/>
          <w:szCs w:val="22"/>
        </w:rPr>
        <w:t xml:space="preserve">, K. </w:t>
      </w:r>
      <w:r w:rsidRPr="0017637C">
        <w:rPr>
          <w:i/>
          <w:color w:val="000000"/>
          <w:sz w:val="22"/>
          <w:szCs w:val="22"/>
        </w:rPr>
        <w:t>Dramatic Difference: Gender, Class, and Genre in the Early Modern Closet Drama</w:t>
      </w:r>
      <w:r w:rsidRPr="0017637C">
        <w:rPr>
          <w:color w:val="000000"/>
          <w:sz w:val="22"/>
          <w:szCs w:val="22"/>
        </w:rPr>
        <w:t xml:space="preserve"> (Newark, 2001)</w:t>
      </w:r>
    </w:p>
    <w:p w14:paraId="13476BAE" w14:textId="77777777" w:rsidR="00A901DD" w:rsidRPr="0017637C" w:rsidRDefault="00A901DD" w:rsidP="00C043AA">
      <w:pPr>
        <w:pStyle w:val="NormalWeb"/>
        <w:rPr>
          <w:color w:val="000000"/>
          <w:sz w:val="22"/>
          <w:szCs w:val="22"/>
        </w:rPr>
      </w:pPr>
      <w:r w:rsidRPr="0017637C">
        <w:rPr>
          <w:color w:val="000000"/>
          <w:sz w:val="22"/>
          <w:szCs w:val="22"/>
        </w:rPr>
        <w:t xml:space="preserve">Richards, J., ‘Examples and Admonitions: What Mary Demonstrated for Elizabeth’, </w:t>
      </w:r>
      <w:r w:rsidRPr="0017637C">
        <w:rPr>
          <w:sz w:val="22"/>
          <w:szCs w:val="22"/>
        </w:rPr>
        <w:t xml:space="preserve">in A. Whitlock and A. Hunt (ed.), </w:t>
      </w:r>
      <w:r w:rsidRPr="0017637C">
        <w:rPr>
          <w:i/>
          <w:sz w:val="22"/>
          <w:szCs w:val="22"/>
        </w:rPr>
        <w:t>Tudor Queenship: the reigns of Mary and Elizabeth</w:t>
      </w:r>
      <w:r w:rsidRPr="0017637C">
        <w:rPr>
          <w:sz w:val="22"/>
          <w:szCs w:val="22"/>
        </w:rPr>
        <w:t xml:space="preserve"> (Basingstoke, 2010), pp. 31-45</w:t>
      </w:r>
    </w:p>
    <w:p w14:paraId="35FABF8A" w14:textId="639C9435" w:rsidR="00A901DD" w:rsidRPr="0017637C" w:rsidRDefault="00A901DD" w:rsidP="00C043AA">
      <w:pPr>
        <w:pStyle w:val="NormalWeb"/>
        <w:rPr>
          <w:color w:val="000000"/>
          <w:sz w:val="22"/>
          <w:szCs w:val="22"/>
        </w:rPr>
      </w:pPr>
      <w:r w:rsidRPr="0017637C">
        <w:rPr>
          <w:color w:val="000000"/>
          <w:sz w:val="22"/>
          <w:szCs w:val="22"/>
        </w:rPr>
        <w:t xml:space="preserve">Richards, J., ‘Love and a Female Monarch: The Case of Elizabeth Tudor’, </w:t>
      </w:r>
      <w:r w:rsidRPr="0017637C">
        <w:rPr>
          <w:i/>
          <w:color w:val="000000"/>
          <w:sz w:val="22"/>
          <w:szCs w:val="22"/>
        </w:rPr>
        <w:t>Source of British Studies</w:t>
      </w:r>
      <w:r w:rsidRPr="0017637C">
        <w:rPr>
          <w:color w:val="000000"/>
          <w:sz w:val="22"/>
          <w:szCs w:val="22"/>
        </w:rPr>
        <w:t>, 38/2 (1999), pp. 133-60</w:t>
      </w:r>
    </w:p>
    <w:p w14:paraId="08EE9E02" w14:textId="405231D6" w:rsidR="00981A84" w:rsidRPr="0017637C" w:rsidRDefault="00981A84" w:rsidP="00C043AA">
      <w:pPr>
        <w:pStyle w:val="NormalWeb"/>
        <w:rPr>
          <w:color w:val="000000"/>
          <w:sz w:val="22"/>
          <w:szCs w:val="22"/>
        </w:rPr>
      </w:pPr>
      <w:proofErr w:type="spellStart"/>
      <w:r w:rsidRPr="0017637C">
        <w:rPr>
          <w:color w:val="000000"/>
          <w:sz w:val="22"/>
          <w:szCs w:val="22"/>
        </w:rPr>
        <w:t>Schurink</w:t>
      </w:r>
      <w:proofErr w:type="spellEnd"/>
      <w:r w:rsidRPr="0017637C">
        <w:rPr>
          <w:color w:val="000000"/>
          <w:sz w:val="22"/>
          <w:szCs w:val="22"/>
        </w:rPr>
        <w:t>, F.</w:t>
      </w:r>
      <w:proofErr w:type="gramStart"/>
      <w:r w:rsidRPr="0017637C">
        <w:rPr>
          <w:color w:val="000000"/>
          <w:sz w:val="22"/>
          <w:szCs w:val="22"/>
        </w:rPr>
        <w:t>,</w:t>
      </w:r>
      <w:r w:rsidR="00050BF1" w:rsidRPr="0017637C">
        <w:rPr>
          <w:color w:val="000000"/>
          <w:sz w:val="22"/>
          <w:szCs w:val="22"/>
        </w:rPr>
        <w:t xml:space="preserve"> </w:t>
      </w:r>
      <w:r w:rsidRPr="0017637C">
        <w:rPr>
          <w:color w:val="000000"/>
          <w:sz w:val="22"/>
          <w:szCs w:val="22"/>
        </w:rPr>
        <w:t xml:space="preserve"> </w:t>
      </w:r>
      <w:r w:rsidRPr="0017637C">
        <w:rPr>
          <w:i/>
          <w:color w:val="000000"/>
          <w:sz w:val="22"/>
          <w:szCs w:val="22"/>
        </w:rPr>
        <w:t>Tudor</w:t>
      </w:r>
      <w:proofErr w:type="gramEnd"/>
      <w:r w:rsidRPr="0017637C">
        <w:rPr>
          <w:i/>
          <w:color w:val="000000"/>
          <w:sz w:val="22"/>
          <w:szCs w:val="22"/>
        </w:rPr>
        <w:t xml:space="preserve"> Translation</w:t>
      </w:r>
      <w:r w:rsidRPr="0017637C">
        <w:rPr>
          <w:color w:val="000000"/>
          <w:sz w:val="22"/>
          <w:szCs w:val="22"/>
        </w:rPr>
        <w:t xml:space="preserve"> (Basingstoke, 2011)</w:t>
      </w:r>
    </w:p>
    <w:p w14:paraId="6F92D5FD" w14:textId="77777777" w:rsidR="00A901DD" w:rsidRPr="0017637C" w:rsidRDefault="00A901DD" w:rsidP="00C043AA">
      <w:pPr>
        <w:pStyle w:val="NormalWeb"/>
        <w:rPr>
          <w:color w:val="000000"/>
          <w:sz w:val="22"/>
          <w:szCs w:val="22"/>
        </w:rPr>
      </w:pPr>
      <w:r w:rsidRPr="0017637C">
        <w:rPr>
          <w:color w:val="000000"/>
          <w:sz w:val="22"/>
          <w:szCs w:val="22"/>
        </w:rPr>
        <w:t xml:space="preserve">Sharpe, K. and Lake, P., ‘Introduction’ in K. Sharpe and P. Lake (ed.), </w:t>
      </w:r>
      <w:r w:rsidRPr="0017637C">
        <w:rPr>
          <w:i/>
          <w:color w:val="000000"/>
          <w:sz w:val="22"/>
          <w:szCs w:val="22"/>
        </w:rPr>
        <w:t>Culture and Politics in Early Stuart England</w:t>
      </w:r>
      <w:r w:rsidRPr="0017637C">
        <w:rPr>
          <w:color w:val="000000"/>
          <w:sz w:val="22"/>
          <w:szCs w:val="22"/>
        </w:rPr>
        <w:t xml:space="preserve"> (Basingstoke, 1994), pp. 1-20</w:t>
      </w:r>
    </w:p>
    <w:p w14:paraId="6F284856" w14:textId="77777777" w:rsidR="00A901DD" w:rsidRPr="0017637C" w:rsidRDefault="00A901DD" w:rsidP="00C043AA">
      <w:pPr>
        <w:pStyle w:val="NormalWeb"/>
        <w:rPr>
          <w:color w:val="000000"/>
          <w:sz w:val="22"/>
          <w:szCs w:val="22"/>
        </w:rPr>
      </w:pPr>
      <w:r w:rsidRPr="0017637C">
        <w:rPr>
          <w:color w:val="000000"/>
          <w:sz w:val="22"/>
          <w:szCs w:val="22"/>
        </w:rPr>
        <w:t xml:space="preserve">Simkin, S., </w:t>
      </w:r>
      <w:r w:rsidRPr="0017637C">
        <w:rPr>
          <w:i/>
          <w:color w:val="000000"/>
          <w:sz w:val="22"/>
          <w:szCs w:val="22"/>
        </w:rPr>
        <w:t>Marlowe: The Plays</w:t>
      </w:r>
      <w:r w:rsidRPr="0017637C">
        <w:rPr>
          <w:color w:val="000000"/>
          <w:sz w:val="22"/>
          <w:szCs w:val="22"/>
        </w:rPr>
        <w:t xml:space="preserve"> (Basingstoke, 2001)</w:t>
      </w:r>
    </w:p>
    <w:p w14:paraId="776C0E24" w14:textId="77777777" w:rsidR="00A901DD" w:rsidRPr="0017637C" w:rsidRDefault="00A901DD" w:rsidP="00C043AA">
      <w:pPr>
        <w:pStyle w:val="NormalWeb"/>
        <w:rPr>
          <w:color w:val="000000"/>
          <w:sz w:val="22"/>
          <w:szCs w:val="22"/>
        </w:rPr>
      </w:pPr>
      <w:r w:rsidRPr="0017637C">
        <w:rPr>
          <w:color w:val="000000"/>
          <w:sz w:val="22"/>
          <w:szCs w:val="22"/>
        </w:rPr>
        <w:t xml:space="preserve">Sisson, C., ‘Thomas Lodge and his Family’ in C. Sisson (ed.), </w:t>
      </w:r>
      <w:r w:rsidRPr="0017637C">
        <w:rPr>
          <w:i/>
          <w:color w:val="000000"/>
          <w:sz w:val="22"/>
          <w:szCs w:val="22"/>
        </w:rPr>
        <w:t>Thomas Lodge and other Elizabethans</w:t>
      </w:r>
      <w:r w:rsidRPr="0017637C">
        <w:rPr>
          <w:color w:val="000000"/>
          <w:sz w:val="22"/>
          <w:szCs w:val="22"/>
        </w:rPr>
        <w:t xml:space="preserve"> (Cambridge, 1933), pp. 1-163</w:t>
      </w:r>
    </w:p>
    <w:p w14:paraId="07676182" w14:textId="77777777" w:rsidR="00A901DD" w:rsidRPr="0017637C" w:rsidRDefault="00A901DD" w:rsidP="00C043AA">
      <w:pPr>
        <w:pStyle w:val="NormalWeb"/>
        <w:rPr>
          <w:color w:val="000000"/>
          <w:sz w:val="22"/>
          <w:szCs w:val="22"/>
        </w:rPr>
      </w:pPr>
      <w:r w:rsidRPr="0017637C">
        <w:rPr>
          <w:color w:val="000000"/>
          <w:sz w:val="22"/>
          <w:szCs w:val="22"/>
        </w:rPr>
        <w:t xml:space="preserve">Skinner, Q., </w:t>
      </w:r>
      <w:r w:rsidRPr="0017637C">
        <w:rPr>
          <w:i/>
          <w:color w:val="000000"/>
          <w:sz w:val="22"/>
          <w:szCs w:val="22"/>
        </w:rPr>
        <w:t>Renaissance Virtues</w:t>
      </w:r>
      <w:r w:rsidRPr="0017637C">
        <w:rPr>
          <w:color w:val="000000"/>
          <w:sz w:val="22"/>
          <w:szCs w:val="22"/>
        </w:rPr>
        <w:t xml:space="preserve"> (Cambridge, 2002)</w:t>
      </w:r>
    </w:p>
    <w:p w14:paraId="24147765" w14:textId="77777777" w:rsidR="00A901DD" w:rsidRPr="0017637C" w:rsidRDefault="00A901DD" w:rsidP="00C043AA">
      <w:pPr>
        <w:pStyle w:val="NormalWeb"/>
        <w:rPr>
          <w:color w:val="000000"/>
          <w:sz w:val="22"/>
          <w:szCs w:val="22"/>
        </w:rPr>
      </w:pPr>
      <w:r w:rsidRPr="0017637C">
        <w:rPr>
          <w:color w:val="000000"/>
          <w:sz w:val="22"/>
          <w:szCs w:val="22"/>
        </w:rPr>
        <w:t xml:space="preserve">Smuts, M., ‘Court Centered Politics and the Uses of Roman Historians, c. 1590-1630’ in K. Sharpe and P. Lake (ed.), </w:t>
      </w:r>
      <w:r w:rsidRPr="0017637C">
        <w:rPr>
          <w:i/>
          <w:color w:val="000000"/>
          <w:sz w:val="22"/>
          <w:szCs w:val="22"/>
        </w:rPr>
        <w:t>Culture and Politics in Early Stuart England</w:t>
      </w:r>
      <w:r w:rsidRPr="0017637C">
        <w:rPr>
          <w:color w:val="000000"/>
          <w:sz w:val="22"/>
          <w:szCs w:val="22"/>
        </w:rPr>
        <w:t xml:space="preserve"> (Basingstoke, 1994), pp. 21-43</w:t>
      </w:r>
    </w:p>
    <w:p w14:paraId="403515E3" w14:textId="77777777" w:rsidR="00A901DD" w:rsidRPr="0017637C" w:rsidRDefault="00A901DD" w:rsidP="00C043AA">
      <w:pPr>
        <w:pStyle w:val="NormalWeb"/>
        <w:rPr>
          <w:color w:val="000000"/>
          <w:sz w:val="22"/>
          <w:szCs w:val="22"/>
        </w:rPr>
      </w:pPr>
      <w:proofErr w:type="spellStart"/>
      <w:r w:rsidRPr="0017637C">
        <w:rPr>
          <w:color w:val="000000"/>
          <w:sz w:val="22"/>
          <w:szCs w:val="22"/>
        </w:rPr>
        <w:t>Southcombe</w:t>
      </w:r>
      <w:proofErr w:type="spellEnd"/>
      <w:r w:rsidRPr="0017637C">
        <w:rPr>
          <w:color w:val="000000"/>
          <w:sz w:val="22"/>
          <w:szCs w:val="22"/>
        </w:rPr>
        <w:t xml:space="preserve">, G., ‘Reading Early Modern English Literature Historically’, </w:t>
      </w:r>
      <w:r w:rsidRPr="0017637C">
        <w:rPr>
          <w:i/>
          <w:color w:val="000000"/>
          <w:sz w:val="22"/>
          <w:szCs w:val="22"/>
        </w:rPr>
        <w:t>Literature Compass</w:t>
      </w:r>
      <w:r w:rsidRPr="0017637C">
        <w:rPr>
          <w:color w:val="000000"/>
          <w:sz w:val="22"/>
          <w:szCs w:val="22"/>
        </w:rPr>
        <w:t>, 7/10 (2010), pp. 954-64</w:t>
      </w:r>
    </w:p>
    <w:p w14:paraId="4F958825" w14:textId="77777777" w:rsidR="00A901DD" w:rsidRPr="0017637C" w:rsidRDefault="00A901DD" w:rsidP="00C043AA">
      <w:pPr>
        <w:pStyle w:val="NormalWeb"/>
        <w:rPr>
          <w:color w:val="000000"/>
          <w:sz w:val="22"/>
          <w:szCs w:val="22"/>
        </w:rPr>
      </w:pPr>
      <w:proofErr w:type="spellStart"/>
      <w:r w:rsidRPr="0017637C">
        <w:rPr>
          <w:color w:val="000000"/>
          <w:sz w:val="22"/>
          <w:szCs w:val="22"/>
        </w:rPr>
        <w:lastRenderedPageBreak/>
        <w:t>Sperberg</w:t>
      </w:r>
      <w:proofErr w:type="spellEnd"/>
      <w:r w:rsidRPr="0017637C">
        <w:rPr>
          <w:color w:val="000000"/>
          <w:sz w:val="22"/>
          <w:szCs w:val="22"/>
        </w:rPr>
        <w:t xml:space="preserve">-McQueen, M., ‘Gardening without Eve: The role of the Feminine in Justus Lipsius’ De Constantia and in Neo-Stoic Thought’, </w:t>
      </w:r>
      <w:r w:rsidRPr="0017637C">
        <w:rPr>
          <w:i/>
          <w:color w:val="000000"/>
          <w:sz w:val="22"/>
          <w:szCs w:val="22"/>
        </w:rPr>
        <w:t>The German Quarterly</w:t>
      </w:r>
      <w:r w:rsidRPr="0017637C">
        <w:rPr>
          <w:color w:val="000000"/>
          <w:sz w:val="22"/>
          <w:szCs w:val="22"/>
        </w:rPr>
        <w:t>, 68/4 (1995), pp. 389-407</w:t>
      </w:r>
    </w:p>
    <w:p w14:paraId="3694D5C0" w14:textId="77777777" w:rsidR="00A901DD" w:rsidRPr="0017637C" w:rsidRDefault="00A901DD" w:rsidP="00C043AA">
      <w:pPr>
        <w:pStyle w:val="NormalWeb"/>
        <w:rPr>
          <w:sz w:val="22"/>
          <w:szCs w:val="22"/>
        </w:rPr>
      </w:pPr>
      <w:r w:rsidRPr="0017637C">
        <w:rPr>
          <w:color w:val="000000"/>
          <w:sz w:val="22"/>
          <w:szCs w:val="22"/>
        </w:rPr>
        <w:t xml:space="preserve">Whitlock, A., ‘“Woman, Warrior, Queen?” Rethinking Mary and Elizabeth’ </w:t>
      </w:r>
      <w:r w:rsidRPr="0017637C">
        <w:rPr>
          <w:sz w:val="22"/>
          <w:szCs w:val="22"/>
        </w:rPr>
        <w:t xml:space="preserve">in A. Whitlock and A. Hunt (ed.), </w:t>
      </w:r>
      <w:r w:rsidRPr="0017637C">
        <w:rPr>
          <w:i/>
          <w:sz w:val="22"/>
          <w:szCs w:val="22"/>
        </w:rPr>
        <w:t>Tudor Queenship: the reigns of Mary and Elizabeth</w:t>
      </w:r>
      <w:r w:rsidRPr="0017637C">
        <w:rPr>
          <w:sz w:val="22"/>
          <w:szCs w:val="22"/>
        </w:rPr>
        <w:t xml:space="preserve"> (Basingstoke, 2010), pp. 173-89</w:t>
      </w:r>
    </w:p>
    <w:p w14:paraId="06D8E638" w14:textId="77777777" w:rsidR="00A901DD" w:rsidRPr="0017637C" w:rsidRDefault="00A901DD" w:rsidP="00C043AA">
      <w:pPr>
        <w:pStyle w:val="NormalWeb"/>
        <w:rPr>
          <w:sz w:val="22"/>
          <w:szCs w:val="22"/>
        </w:rPr>
      </w:pPr>
      <w:r w:rsidRPr="0017637C">
        <w:rPr>
          <w:sz w:val="22"/>
          <w:szCs w:val="22"/>
        </w:rPr>
        <w:t xml:space="preserve">Wiggins, M., </w:t>
      </w:r>
      <w:r w:rsidRPr="0017637C">
        <w:rPr>
          <w:i/>
          <w:sz w:val="22"/>
          <w:szCs w:val="22"/>
        </w:rPr>
        <w:t>British Drama, 1533-1642: A Catalogue. Volume II, 1567-1589</w:t>
      </w:r>
      <w:r w:rsidRPr="0017637C">
        <w:rPr>
          <w:sz w:val="22"/>
          <w:szCs w:val="22"/>
        </w:rPr>
        <w:t xml:space="preserve"> (Oxford, 2012)</w:t>
      </w:r>
    </w:p>
    <w:p w14:paraId="4A04A00D" w14:textId="77777777" w:rsidR="00A901DD" w:rsidRPr="0017637C" w:rsidRDefault="00A901DD" w:rsidP="00C043AA">
      <w:pPr>
        <w:pStyle w:val="NormalWeb"/>
        <w:rPr>
          <w:sz w:val="22"/>
          <w:szCs w:val="22"/>
        </w:rPr>
      </w:pPr>
      <w:r w:rsidRPr="0017637C">
        <w:rPr>
          <w:sz w:val="22"/>
          <w:szCs w:val="22"/>
        </w:rPr>
        <w:t xml:space="preserve">Wiggins, M., </w:t>
      </w:r>
      <w:r w:rsidRPr="0017637C">
        <w:rPr>
          <w:i/>
          <w:sz w:val="22"/>
          <w:szCs w:val="22"/>
        </w:rPr>
        <w:t>British Drama, 1533-1642: A Catalogue. Volume III, 1590-1597</w:t>
      </w:r>
      <w:r w:rsidRPr="0017637C">
        <w:rPr>
          <w:sz w:val="22"/>
          <w:szCs w:val="22"/>
        </w:rPr>
        <w:t xml:space="preserve"> (Oxford, 2013)</w:t>
      </w:r>
    </w:p>
    <w:p w14:paraId="2E7CE4EC" w14:textId="77777777" w:rsidR="00A901DD" w:rsidRPr="0017637C" w:rsidRDefault="00A901DD" w:rsidP="00C043AA">
      <w:pPr>
        <w:pStyle w:val="NormalWeb"/>
        <w:rPr>
          <w:sz w:val="22"/>
          <w:szCs w:val="22"/>
        </w:rPr>
      </w:pPr>
      <w:r w:rsidRPr="0017637C">
        <w:rPr>
          <w:sz w:val="22"/>
          <w:szCs w:val="22"/>
        </w:rPr>
        <w:t xml:space="preserve">Wiggins, M., </w:t>
      </w:r>
      <w:r w:rsidRPr="0017637C">
        <w:rPr>
          <w:i/>
          <w:sz w:val="22"/>
          <w:szCs w:val="22"/>
        </w:rPr>
        <w:t>British Drama, 1533-1642: A Catalogue. Volume IV, 1598-1602</w:t>
      </w:r>
      <w:r w:rsidRPr="0017637C">
        <w:rPr>
          <w:sz w:val="22"/>
          <w:szCs w:val="22"/>
        </w:rPr>
        <w:t xml:space="preserve"> (Oxford, 2014)</w:t>
      </w:r>
    </w:p>
    <w:p w14:paraId="0866EF2E" w14:textId="77777777" w:rsidR="00A901DD" w:rsidRPr="0017637C" w:rsidRDefault="00A901DD" w:rsidP="00C043AA">
      <w:pPr>
        <w:pStyle w:val="NormalWeb"/>
        <w:rPr>
          <w:sz w:val="22"/>
          <w:szCs w:val="22"/>
        </w:rPr>
      </w:pPr>
      <w:r w:rsidRPr="0017637C">
        <w:rPr>
          <w:sz w:val="22"/>
          <w:szCs w:val="22"/>
        </w:rPr>
        <w:t xml:space="preserve">Wiggins, M., </w:t>
      </w:r>
      <w:r w:rsidRPr="0017637C">
        <w:rPr>
          <w:i/>
          <w:sz w:val="22"/>
          <w:szCs w:val="22"/>
        </w:rPr>
        <w:t>British Drama, 1533-1642: A Catalogue. Volume V, 1603-1608</w:t>
      </w:r>
      <w:r w:rsidRPr="0017637C">
        <w:rPr>
          <w:sz w:val="22"/>
          <w:szCs w:val="22"/>
        </w:rPr>
        <w:t xml:space="preserve"> (Oxford, 2015)</w:t>
      </w:r>
    </w:p>
    <w:p w14:paraId="6FF26916" w14:textId="77777777" w:rsidR="00A901DD" w:rsidRPr="0017637C" w:rsidRDefault="00A901DD" w:rsidP="00C043AA">
      <w:pPr>
        <w:pStyle w:val="NormalWeb"/>
        <w:rPr>
          <w:color w:val="000000"/>
          <w:sz w:val="22"/>
          <w:szCs w:val="22"/>
        </w:rPr>
      </w:pPr>
      <w:r w:rsidRPr="0017637C">
        <w:rPr>
          <w:sz w:val="22"/>
          <w:szCs w:val="22"/>
        </w:rPr>
        <w:t xml:space="preserve">Wilson-Lee, E., ‘Women’s Weapons: Country House Diplomacy in the Countess of Pembroke’s French Translations’ in T. Demetriou and R. Tomlinson (ed.), </w:t>
      </w:r>
      <w:r w:rsidRPr="0017637C">
        <w:rPr>
          <w:i/>
          <w:sz w:val="22"/>
          <w:szCs w:val="22"/>
        </w:rPr>
        <w:t>The Culture of Translation in Early Modern England and France, 1500-1660</w:t>
      </w:r>
      <w:r w:rsidRPr="0017637C">
        <w:rPr>
          <w:sz w:val="22"/>
          <w:szCs w:val="22"/>
        </w:rPr>
        <w:t xml:space="preserve"> (Basingstoke, 2015), pp. 128-44</w:t>
      </w:r>
    </w:p>
    <w:p w14:paraId="41B665BB" w14:textId="77777777" w:rsidR="00A901DD" w:rsidRPr="0017637C" w:rsidRDefault="00A901DD" w:rsidP="00C043AA">
      <w:pPr>
        <w:pStyle w:val="NormalWeb"/>
        <w:rPr>
          <w:sz w:val="22"/>
          <w:szCs w:val="22"/>
        </w:rPr>
      </w:pPr>
      <w:proofErr w:type="spellStart"/>
      <w:r w:rsidRPr="0017637C">
        <w:rPr>
          <w:color w:val="000000"/>
          <w:sz w:val="22"/>
          <w:szCs w:val="22"/>
        </w:rPr>
        <w:t>Womersely</w:t>
      </w:r>
      <w:proofErr w:type="spellEnd"/>
      <w:r w:rsidRPr="0017637C">
        <w:rPr>
          <w:color w:val="000000"/>
          <w:sz w:val="22"/>
          <w:szCs w:val="22"/>
        </w:rPr>
        <w:t xml:space="preserve">, D., </w:t>
      </w:r>
      <w:r w:rsidRPr="0017637C">
        <w:rPr>
          <w:sz w:val="22"/>
          <w:szCs w:val="22"/>
        </w:rPr>
        <w:t xml:space="preserve">‘Sir Henry Savile’s Translation of Tacitus’, </w:t>
      </w:r>
      <w:r w:rsidRPr="0017637C">
        <w:rPr>
          <w:i/>
          <w:sz w:val="22"/>
          <w:szCs w:val="22"/>
        </w:rPr>
        <w:t>Review of English Studies</w:t>
      </w:r>
      <w:r w:rsidRPr="0017637C">
        <w:rPr>
          <w:sz w:val="22"/>
          <w:szCs w:val="22"/>
        </w:rPr>
        <w:t>, 42/167 (1991), pp. 313-42</w:t>
      </w:r>
    </w:p>
    <w:p w14:paraId="0D6990C7" w14:textId="77777777" w:rsidR="00A901DD" w:rsidRPr="0017637C" w:rsidRDefault="00A901DD" w:rsidP="00C043AA">
      <w:pPr>
        <w:pStyle w:val="NormalWeb"/>
        <w:rPr>
          <w:sz w:val="22"/>
          <w:szCs w:val="22"/>
        </w:rPr>
      </w:pPr>
      <w:r w:rsidRPr="0017637C">
        <w:rPr>
          <w:sz w:val="22"/>
          <w:szCs w:val="22"/>
        </w:rPr>
        <w:t xml:space="preserve">Woods, S., ‘Spenser and the Problem of Women’s Rule’, </w:t>
      </w:r>
      <w:r w:rsidRPr="0017637C">
        <w:rPr>
          <w:i/>
          <w:sz w:val="22"/>
          <w:szCs w:val="22"/>
        </w:rPr>
        <w:t>Huntington Library Quarterly</w:t>
      </w:r>
      <w:r w:rsidRPr="0017637C">
        <w:rPr>
          <w:sz w:val="22"/>
          <w:szCs w:val="22"/>
        </w:rPr>
        <w:t>, 48/2 (1985), pp.141-58</w:t>
      </w:r>
    </w:p>
    <w:p w14:paraId="25E3CD9A" w14:textId="77777777" w:rsidR="00A901DD" w:rsidRPr="0017637C" w:rsidRDefault="00A901DD" w:rsidP="00C043AA">
      <w:pPr>
        <w:pStyle w:val="NormalWeb"/>
        <w:rPr>
          <w:sz w:val="22"/>
          <w:szCs w:val="22"/>
        </w:rPr>
      </w:pPr>
      <w:r w:rsidRPr="0017637C">
        <w:rPr>
          <w:sz w:val="22"/>
          <w:szCs w:val="22"/>
        </w:rPr>
        <w:t xml:space="preserve">Worden, B., ‘Shakespeare and Politics’, </w:t>
      </w:r>
      <w:r w:rsidRPr="0017637C">
        <w:rPr>
          <w:i/>
          <w:sz w:val="22"/>
          <w:szCs w:val="22"/>
        </w:rPr>
        <w:t>Shakespeare Survey</w:t>
      </w:r>
      <w:r w:rsidRPr="0017637C">
        <w:rPr>
          <w:sz w:val="22"/>
          <w:szCs w:val="22"/>
        </w:rPr>
        <w:t>, 44 (1992), pp. 1-15</w:t>
      </w:r>
    </w:p>
    <w:p w14:paraId="2F536656" w14:textId="77777777" w:rsidR="00A901DD" w:rsidRPr="0017637C" w:rsidRDefault="00A901DD" w:rsidP="00C043AA">
      <w:pPr>
        <w:spacing w:line="240" w:lineRule="auto"/>
      </w:pPr>
    </w:p>
    <w:p w14:paraId="2D89BF78" w14:textId="77777777" w:rsidR="00A901DD" w:rsidRPr="0017637C" w:rsidRDefault="00A901DD" w:rsidP="00C043AA">
      <w:pPr>
        <w:spacing w:line="240" w:lineRule="auto"/>
        <w:jc w:val="both"/>
        <w:rPr>
          <w:rFonts w:ascii="Times New Roman" w:hAnsi="Times New Roman" w:cs="Times New Roman"/>
        </w:rPr>
      </w:pPr>
    </w:p>
    <w:p w14:paraId="1C8227E5" w14:textId="77777777" w:rsidR="0027487E" w:rsidRPr="0017637C" w:rsidRDefault="0027487E" w:rsidP="00C043AA">
      <w:pPr>
        <w:spacing w:line="240" w:lineRule="auto"/>
        <w:jc w:val="both"/>
        <w:rPr>
          <w:rFonts w:ascii="Times New Roman" w:hAnsi="Times New Roman" w:cs="Times New Roman"/>
        </w:rPr>
      </w:pPr>
    </w:p>
    <w:sectPr w:rsidR="0027487E" w:rsidRPr="0017637C" w:rsidSect="00C272C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D3DE" w14:textId="77777777" w:rsidR="002E5C85" w:rsidRDefault="002E5C85" w:rsidP="004C7B97">
      <w:pPr>
        <w:spacing w:after="0" w:line="240" w:lineRule="auto"/>
      </w:pPr>
      <w:r>
        <w:separator/>
      </w:r>
    </w:p>
  </w:endnote>
  <w:endnote w:type="continuationSeparator" w:id="0">
    <w:p w14:paraId="240117EF" w14:textId="77777777" w:rsidR="002E5C85" w:rsidRDefault="002E5C85" w:rsidP="004C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042113"/>
      <w:docPartObj>
        <w:docPartGallery w:val="Page Numbers (Bottom of Page)"/>
        <w:docPartUnique/>
      </w:docPartObj>
    </w:sdtPr>
    <w:sdtEndPr>
      <w:rPr>
        <w:noProof/>
      </w:rPr>
    </w:sdtEndPr>
    <w:sdtContent>
      <w:p w14:paraId="3D5058C2" w14:textId="4DCDBB97" w:rsidR="00336EAF" w:rsidRDefault="00336E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3A217" w14:textId="77777777" w:rsidR="00FB3F4F" w:rsidRDefault="00FB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F294" w14:textId="77777777" w:rsidR="002E5C85" w:rsidRDefault="002E5C85" w:rsidP="004C7B97">
      <w:pPr>
        <w:spacing w:after="0" w:line="240" w:lineRule="auto"/>
      </w:pPr>
      <w:r>
        <w:separator/>
      </w:r>
    </w:p>
  </w:footnote>
  <w:footnote w:type="continuationSeparator" w:id="0">
    <w:p w14:paraId="71C67E05" w14:textId="77777777" w:rsidR="002E5C85" w:rsidRDefault="002E5C85" w:rsidP="004C7B97">
      <w:pPr>
        <w:spacing w:after="0" w:line="240" w:lineRule="auto"/>
      </w:pPr>
      <w:r>
        <w:continuationSeparator/>
      </w:r>
    </w:p>
  </w:footnote>
  <w:footnote w:id="1">
    <w:p w14:paraId="1E844312" w14:textId="6B8B93EF" w:rsidR="00FB3F4F" w:rsidRPr="00002825" w:rsidRDefault="00FB3F4F">
      <w:pPr>
        <w:pStyle w:val="FootnoteText"/>
      </w:pPr>
      <w:r>
        <w:rPr>
          <w:rStyle w:val="FootnoteReference"/>
        </w:rPr>
        <w:footnoteRef/>
      </w:r>
      <w:r>
        <w:t xml:space="preserve"> R</w:t>
      </w:r>
      <w:r w:rsidR="003B041A">
        <w:t xml:space="preserve">obert </w:t>
      </w:r>
      <w:r>
        <w:t>Garnier, ‘</w:t>
      </w:r>
      <w:r w:rsidRPr="00002825">
        <w:t>Antonius</w:t>
      </w:r>
      <w:r>
        <w:t>’, trans. M</w:t>
      </w:r>
      <w:r w:rsidR="00C357D7">
        <w:t>ary</w:t>
      </w:r>
      <w:r>
        <w:t xml:space="preserve"> Sidney in M. Belle and L. </w:t>
      </w:r>
      <w:proofErr w:type="spellStart"/>
      <w:r>
        <w:t>Cottegnies</w:t>
      </w:r>
      <w:proofErr w:type="spellEnd"/>
      <w:r>
        <w:t xml:space="preserve"> (ed.), </w:t>
      </w:r>
      <w:r>
        <w:rPr>
          <w:i/>
        </w:rPr>
        <w:t>Robert Garnier in Elizabethan England</w:t>
      </w:r>
      <w:r w:rsidR="007E2FCA">
        <w:t xml:space="preserve"> </w:t>
      </w:r>
      <w:r>
        <w:t>(Cambridge, 2017), II.ii.161-198</w:t>
      </w:r>
      <w:r w:rsidR="00CD5660">
        <w:t>.</w:t>
      </w:r>
    </w:p>
  </w:footnote>
  <w:footnote w:id="2">
    <w:p w14:paraId="74021450" w14:textId="4F0D9704" w:rsidR="00FB3F4F" w:rsidRPr="00032E2A" w:rsidRDefault="00FB3F4F">
      <w:pPr>
        <w:pStyle w:val="FootnoteText"/>
        <w:rPr>
          <w:rFonts w:cs="Times New Roman"/>
        </w:rPr>
      </w:pPr>
      <w:r w:rsidRPr="00032E2A">
        <w:rPr>
          <w:rStyle w:val="FootnoteReference"/>
          <w:rFonts w:cs="Times New Roman"/>
        </w:rPr>
        <w:footnoteRef/>
      </w:r>
      <w:r w:rsidRPr="00032E2A">
        <w:rPr>
          <w:rFonts w:cs="Times New Roman"/>
        </w:rPr>
        <w:t xml:space="preserve"> J. Guy, ‘Introduction. The 1590s: The second reign of Elizabeth?’ in </w:t>
      </w:r>
      <w:proofErr w:type="gramStart"/>
      <w:r w:rsidRPr="00032E2A">
        <w:rPr>
          <w:rFonts w:cs="Times New Roman"/>
        </w:rPr>
        <w:t>J.Guy</w:t>
      </w:r>
      <w:proofErr w:type="gramEnd"/>
      <w:r w:rsidRPr="00032E2A">
        <w:rPr>
          <w:rFonts w:cs="Times New Roman"/>
        </w:rPr>
        <w:t xml:space="preserve"> (ed.), </w:t>
      </w:r>
      <w:r w:rsidRPr="00032E2A">
        <w:rPr>
          <w:rFonts w:cs="Times New Roman"/>
          <w:i/>
        </w:rPr>
        <w:t>The Reign of Elizabeth I: court and culture in the last decade</w:t>
      </w:r>
      <w:r w:rsidR="007E2FCA">
        <w:rPr>
          <w:rFonts w:cs="Times New Roman"/>
        </w:rPr>
        <w:t xml:space="preserve"> </w:t>
      </w:r>
      <w:r w:rsidRPr="00032E2A">
        <w:rPr>
          <w:rFonts w:cs="Times New Roman"/>
        </w:rPr>
        <w:t>(Cambridge, 1995)</w:t>
      </w:r>
      <w:r w:rsidR="006F4D24">
        <w:rPr>
          <w:rFonts w:cs="Times New Roman"/>
        </w:rPr>
        <w:t xml:space="preserve">; </w:t>
      </w:r>
      <w:r w:rsidR="00452C64">
        <w:rPr>
          <w:rFonts w:cs="Times New Roman"/>
        </w:rPr>
        <w:t xml:space="preserve">A. </w:t>
      </w:r>
      <w:proofErr w:type="spellStart"/>
      <w:r w:rsidR="006F4D24" w:rsidRPr="00032E2A">
        <w:rPr>
          <w:rFonts w:cs="Times New Roman"/>
        </w:rPr>
        <w:t>Gaj</w:t>
      </w:r>
      <w:r w:rsidR="006F4D24">
        <w:rPr>
          <w:rFonts w:cs="Times New Roman"/>
        </w:rPr>
        <w:t>d</w:t>
      </w:r>
      <w:r w:rsidR="006F4D24" w:rsidRPr="00032E2A">
        <w:rPr>
          <w:rFonts w:cs="Times New Roman"/>
        </w:rPr>
        <w:t>a</w:t>
      </w:r>
      <w:proofErr w:type="spellEnd"/>
      <w:r w:rsidR="006F4D24" w:rsidRPr="00032E2A">
        <w:rPr>
          <w:rFonts w:cs="Times New Roman"/>
        </w:rPr>
        <w:t xml:space="preserve">, ‘Political Culture in the 1590s: The ‘Second Reign of Elizabeth’, </w:t>
      </w:r>
      <w:r w:rsidR="006F4D24" w:rsidRPr="00032E2A">
        <w:rPr>
          <w:rFonts w:cs="Times New Roman"/>
          <w:i/>
        </w:rPr>
        <w:t>History Compass</w:t>
      </w:r>
      <w:r w:rsidR="006F4D24" w:rsidRPr="00032E2A">
        <w:rPr>
          <w:rFonts w:cs="Times New Roman"/>
        </w:rPr>
        <w:t>, 8/1 (2010),</w:t>
      </w:r>
      <w:r w:rsidR="00D77E68">
        <w:rPr>
          <w:rFonts w:cs="Times New Roman"/>
        </w:rPr>
        <w:t xml:space="preserve"> pp.</w:t>
      </w:r>
      <w:r w:rsidR="006B65B9">
        <w:rPr>
          <w:rFonts w:cs="Times New Roman"/>
        </w:rPr>
        <w:t>88-93.</w:t>
      </w:r>
      <w:r w:rsidR="00FC71E7">
        <w:rPr>
          <w:rFonts w:cs="Times New Roman"/>
        </w:rPr>
        <w:t xml:space="preserve"> </w:t>
      </w:r>
    </w:p>
  </w:footnote>
  <w:footnote w:id="3">
    <w:p w14:paraId="0ED24085" w14:textId="0F6E9726" w:rsidR="00FB3F4F" w:rsidRPr="00284A48" w:rsidRDefault="00FB3F4F">
      <w:pPr>
        <w:pStyle w:val="FootnoteText"/>
        <w:rPr>
          <w:rFonts w:cs="Times New Roman"/>
        </w:rPr>
      </w:pPr>
      <w:r w:rsidRPr="00032E2A">
        <w:rPr>
          <w:rStyle w:val="FootnoteReference"/>
          <w:rFonts w:cs="Times New Roman"/>
        </w:rPr>
        <w:footnoteRef/>
      </w:r>
      <w:r w:rsidRPr="00032E2A">
        <w:rPr>
          <w:rFonts w:cs="Times New Roman"/>
        </w:rPr>
        <w:t xml:space="preserve"> Guy, ‘Introduction’, pp. 15-1</w:t>
      </w:r>
      <w:r w:rsidR="00CD5660">
        <w:rPr>
          <w:rFonts w:cs="Times New Roman"/>
        </w:rPr>
        <w:t>8</w:t>
      </w:r>
      <w:r w:rsidR="00022835">
        <w:rPr>
          <w:rFonts w:cs="Times New Roman"/>
        </w:rPr>
        <w:t>;</w:t>
      </w:r>
      <w:r>
        <w:rPr>
          <w:rFonts w:cs="Times New Roman"/>
        </w:rPr>
        <w:t xml:space="preserve"> P. Lake, ‘“The Monarchical Republic of Queen Elizabeth I” (and the Fall of Archbishop </w:t>
      </w:r>
      <w:proofErr w:type="spellStart"/>
      <w:r>
        <w:rPr>
          <w:rFonts w:cs="Times New Roman"/>
        </w:rPr>
        <w:t>Grindal</w:t>
      </w:r>
      <w:proofErr w:type="spellEnd"/>
      <w:r>
        <w:rPr>
          <w:rFonts w:cs="Times New Roman"/>
        </w:rPr>
        <w:t xml:space="preserve">) Revisited’ in J. </w:t>
      </w:r>
      <w:proofErr w:type="spellStart"/>
      <w:r>
        <w:rPr>
          <w:rFonts w:cs="Times New Roman"/>
        </w:rPr>
        <w:t>McDiarmid</w:t>
      </w:r>
      <w:proofErr w:type="spellEnd"/>
      <w:r>
        <w:rPr>
          <w:rFonts w:cs="Times New Roman"/>
        </w:rPr>
        <w:t xml:space="preserve"> (ed.) </w:t>
      </w:r>
      <w:r w:rsidRPr="00284A48">
        <w:rPr>
          <w:rFonts w:cs="Times New Roman"/>
          <w:i/>
        </w:rPr>
        <w:t xml:space="preserve">The </w:t>
      </w:r>
      <w:r>
        <w:rPr>
          <w:rFonts w:cs="Times New Roman"/>
          <w:i/>
        </w:rPr>
        <w:t>Monarchical Republic of Early Modern England: essays in response to Patrick Collinson</w:t>
      </w:r>
      <w:r>
        <w:rPr>
          <w:rFonts w:cs="Times New Roman"/>
        </w:rPr>
        <w:t xml:space="preserve"> (Aldershot, 2007), p.146</w:t>
      </w:r>
      <w:r w:rsidR="00CD5660">
        <w:rPr>
          <w:rFonts w:cs="Times New Roman"/>
        </w:rPr>
        <w:t>.</w:t>
      </w:r>
    </w:p>
  </w:footnote>
  <w:footnote w:id="4">
    <w:p w14:paraId="3301E0BF" w14:textId="7BC0301E" w:rsidR="00FB3F4F" w:rsidRPr="00A14392" w:rsidRDefault="00FB3F4F">
      <w:pPr>
        <w:pStyle w:val="FootnoteText"/>
        <w:rPr>
          <w:rFonts w:cs="Times New Roman"/>
        </w:rPr>
      </w:pPr>
      <w:r w:rsidRPr="00032E2A">
        <w:rPr>
          <w:rStyle w:val="FootnoteReference"/>
          <w:rFonts w:cs="Times New Roman"/>
        </w:rPr>
        <w:footnoteRef/>
      </w:r>
      <w:r w:rsidRPr="00032E2A">
        <w:rPr>
          <w:rFonts w:cs="Times New Roman"/>
        </w:rPr>
        <w:t xml:space="preserve"> </w:t>
      </w:r>
      <w:r>
        <w:rPr>
          <w:rFonts w:cs="Times New Roman"/>
        </w:rPr>
        <w:t xml:space="preserve">K. Sharpe and P. Lake, ‘Introduction’ in K. Sharpe and P. Lake (ed.), </w:t>
      </w:r>
      <w:r>
        <w:rPr>
          <w:rFonts w:cs="Times New Roman"/>
          <w:i/>
        </w:rPr>
        <w:t xml:space="preserve">Culture and Politics in Early Stuart </w:t>
      </w:r>
      <w:r w:rsidRPr="006F376A">
        <w:rPr>
          <w:rFonts w:cs="Times New Roman"/>
          <w:i/>
        </w:rPr>
        <w:t>England</w:t>
      </w:r>
      <w:r>
        <w:rPr>
          <w:rFonts w:cs="Times New Roman"/>
        </w:rPr>
        <w:t xml:space="preserve"> (Stanford, 1993), pp. 11-4; </w:t>
      </w:r>
      <w:proofErr w:type="spellStart"/>
      <w:r w:rsidRPr="00032E2A">
        <w:rPr>
          <w:rFonts w:cs="Times New Roman"/>
        </w:rPr>
        <w:t>Gaj</w:t>
      </w:r>
      <w:r>
        <w:rPr>
          <w:rFonts w:cs="Times New Roman"/>
        </w:rPr>
        <w:t>d</w:t>
      </w:r>
      <w:r w:rsidRPr="00032E2A">
        <w:rPr>
          <w:rFonts w:cs="Times New Roman"/>
        </w:rPr>
        <w:t>a</w:t>
      </w:r>
      <w:proofErr w:type="spellEnd"/>
      <w:r w:rsidRPr="00032E2A">
        <w:rPr>
          <w:rFonts w:cs="Times New Roman"/>
        </w:rPr>
        <w:t>, ‘Political Culture in the 1590s</w:t>
      </w:r>
      <w:r w:rsidR="00AB053A">
        <w:rPr>
          <w:rFonts w:cs="Times New Roman"/>
        </w:rPr>
        <w:t>’</w:t>
      </w:r>
      <w:r w:rsidRPr="00032E2A">
        <w:rPr>
          <w:rFonts w:cs="Times New Roman"/>
        </w:rPr>
        <w:t>, pp. 92-95</w:t>
      </w:r>
      <w:r w:rsidR="00281924">
        <w:rPr>
          <w:rFonts w:cs="Times New Roman"/>
        </w:rPr>
        <w:t>;</w:t>
      </w:r>
      <w:r>
        <w:rPr>
          <w:rFonts w:cs="Times New Roman"/>
        </w:rPr>
        <w:t xml:space="preserve"> A. </w:t>
      </w:r>
      <w:proofErr w:type="spellStart"/>
      <w:r>
        <w:rPr>
          <w:rFonts w:cs="Times New Roman"/>
        </w:rPr>
        <w:t>Gajda</w:t>
      </w:r>
      <w:proofErr w:type="spellEnd"/>
      <w:r>
        <w:rPr>
          <w:rFonts w:cs="Times New Roman"/>
        </w:rPr>
        <w:t xml:space="preserve">, </w:t>
      </w:r>
      <w:r>
        <w:rPr>
          <w:rFonts w:cs="Times New Roman"/>
          <w:i/>
        </w:rPr>
        <w:t>The Earl of Essex and Late Elizabethan Political Culture</w:t>
      </w:r>
      <w:r>
        <w:rPr>
          <w:rFonts w:cs="Times New Roman"/>
        </w:rPr>
        <w:t xml:space="preserve"> (Oxford, 2012), pp. 20-23</w:t>
      </w:r>
      <w:r w:rsidR="00CD5660">
        <w:rPr>
          <w:rFonts w:cs="Times New Roman"/>
        </w:rPr>
        <w:t>.</w:t>
      </w:r>
    </w:p>
  </w:footnote>
  <w:footnote w:id="5">
    <w:p w14:paraId="6A17BC3A" w14:textId="2F407E23" w:rsidR="00FB3F4F" w:rsidRPr="00BE6002" w:rsidRDefault="00FB3F4F">
      <w:pPr>
        <w:pStyle w:val="FootnoteText"/>
        <w:rPr>
          <w:rFonts w:cs="Times New Roman"/>
        </w:rPr>
      </w:pPr>
      <w:r w:rsidRPr="00032E2A">
        <w:rPr>
          <w:rStyle w:val="FootnoteReference"/>
          <w:rFonts w:cs="Times New Roman"/>
        </w:rPr>
        <w:footnoteRef/>
      </w:r>
      <w:r w:rsidRPr="00032E2A">
        <w:rPr>
          <w:rFonts w:cs="Times New Roman"/>
        </w:rPr>
        <w:t xml:space="preserve"> T. Freeman and S. Doran</w:t>
      </w:r>
      <w:r>
        <w:rPr>
          <w:rFonts w:cs="Times New Roman"/>
        </w:rPr>
        <w:t>,</w:t>
      </w:r>
      <w:r w:rsidRPr="00032E2A">
        <w:rPr>
          <w:rFonts w:cs="Times New Roman"/>
        </w:rPr>
        <w:t xml:space="preserve"> ‘Introduction’ in T. Freeman and S. Doran (ed.), </w:t>
      </w:r>
      <w:r w:rsidRPr="00032E2A">
        <w:rPr>
          <w:rFonts w:cs="Times New Roman"/>
          <w:i/>
        </w:rPr>
        <w:t>The Myth of Elizabeth</w:t>
      </w:r>
      <w:r w:rsidRPr="00032E2A">
        <w:rPr>
          <w:rFonts w:cs="Times New Roman"/>
        </w:rPr>
        <w:t xml:space="preserve"> (Basingstoke, 2003), p. 6</w:t>
      </w:r>
      <w:r w:rsidR="00BE6002">
        <w:rPr>
          <w:rFonts w:cs="Times New Roman"/>
        </w:rPr>
        <w:t xml:space="preserve">; E. </w:t>
      </w:r>
      <w:proofErr w:type="spellStart"/>
      <w:r w:rsidR="00BE6002">
        <w:rPr>
          <w:rFonts w:cs="Times New Roman"/>
        </w:rPr>
        <w:t>Heale</w:t>
      </w:r>
      <w:proofErr w:type="spellEnd"/>
      <w:r w:rsidR="00BE6002">
        <w:rPr>
          <w:rFonts w:cs="Times New Roman"/>
        </w:rPr>
        <w:t xml:space="preserve">, </w:t>
      </w:r>
      <w:r w:rsidR="00BE6002">
        <w:rPr>
          <w:rFonts w:cs="Times New Roman"/>
          <w:i/>
        </w:rPr>
        <w:t xml:space="preserve">The Faerie </w:t>
      </w:r>
      <w:proofErr w:type="spellStart"/>
      <w:r w:rsidR="00BE6002">
        <w:rPr>
          <w:rFonts w:cs="Times New Roman"/>
          <w:i/>
        </w:rPr>
        <w:t>Queene</w:t>
      </w:r>
      <w:proofErr w:type="spellEnd"/>
      <w:r w:rsidR="00BE6002">
        <w:rPr>
          <w:rFonts w:cs="Times New Roman"/>
          <w:i/>
        </w:rPr>
        <w:t>: A Reader’s Guide</w:t>
      </w:r>
      <w:r w:rsidR="00BE6002">
        <w:rPr>
          <w:rFonts w:cs="Times New Roman"/>
        </w:rPr>
        <w:t xml:space="preserve"> </w:t>
      </w:r>
      <w:r w:rsidR="00625DC4">
        <w:rPr>
          <w:rFonts w:cs="Times New Roman"/>
        </w:rPr>
        <w:t>(Cambridge, 1987), p. 140.</w:t>
      </w:r>
    </w:p>
  </w:footnote>
  <w:footnote w:id="6">
    <w:p w14:paraId="2B9CE9CB" w14:textId="2BAF2848" w:rsidR="00FB3F4F" w:rsidRPr="00BD3A80" w:rsidRDefault="00FB3F4F">
      <w:pPr>
        <w:pStyle w:val="FootnoteText"/>
        <w:rPr>
          <w:rFonts w:cs="Times New Roman"/>
        </w:rPr>
      </w:pPr>
      <w:r w:rsidRPr="00032E2A">
        <w:rPr>
          <w:rStyle w:val="FootnoteReference"/>
          <w:rFonts w:cs="Times New Roman"/>
        </w:rPr>
        <w:footnoteRef/>
      </w:r>
      <w:r w:rsidRPr="00032E2A">
        <w:rPr>
          <w:rFonts w:cs="Times New Roman"/>
        </w:rPr>
        <w:t xml:space="preserve"> A.N. McLaren, </w:t>
      </w:r>
      <w:r w:rsidRPr="00032E2A">
        <w:rPr>
          <w:rFonts w:cs="Times New Roman"/>
          <w:i/>
        </w:rPr>
        <w:t>Political Culture in the Reign of Elizabeth I: Queen and Commonwealth 1558-1585</w:t>
      </w:r>
      <w:r w:rsidRPr="00032E2A">
        <w:rPr>
          <w:rFonts w:cs="Times New Roman"/>
        </w:rPr>
        <w:t>, (Cambridge, 1999), pp. 5-9</w:t>
      </w:r>
      <w:r w:rsidR="00CD5660">
        <w:rPr>
          <w:rFonts w:cs="Times New Roman"/>
        </w:rPr>
        <w:t>;</w:t>
      </w:r>
      <w:r>
        <w:rPr>
          <w:rFonts w:cs="Times New Roman"/>
        </w:rPr>
        <w:t xml:space="preserve"> </w:t>
      </w:r>
      <w:r>
        <w:t xml:space="preserve">J. Richards, ‘Love and a Female Monarch: the case of Elizabeth Tudor’, </w:t>
      </w:r>
      <w:r>
        <w:rPr>
          <w:i/>
        </w:rPr>
        <w:t>Source of British Studies</w:t>
      </w:r>
      <w:r>
        <w:t>, 38/2 (1999), pp. 150-4</w:t>
      </w:r>
      <w:r w:rsidR="00CD5660">
        <w:t>.</w:t>
      </w:r>
    </w:p>
  </w:footnote>
  <w:footnote w:id="7">
    <w:p w14:paraId="3DC1D9BA" w14:textId="3CC61649" w:rsidR="00FB3F4F" w:rsidRPr="00032E2A" w:rsidRDefault="00FB3F4F">
      <w:pPr>
        <w:pStyle w:val="FootnoteText"/>
        <w:rPr>
          <w:rFonts w:cs="Times New Roman"/>
        </w:rPr>
      </w:pPr>
      <w:r w:rsidRPr="00032E2A">
        <w:rPr>
          <w:rStyle w:val="FootnoteReference"/>
          <w:rFonts w:cs="Times New Roman"/>
        </w:rPr>
        <w:footnoteRef/>
      </w:r>
      <w:r w:rsidRPr="00032E2A">
        <w:rPr>
          <w:rFonts w:cs="Times New Roman"/>
        </w:rPr>
        <w:t xml:space="preserve"> L. </w:t>
      </w:r>
      <w:proofErr w:type="spellStart"/>
      <w:r w:rsidRPr="00032E2A">
        <w:rPr>
          <w:rFonts w:cs="Times New Roman"/>
        </w:rPr>
        <w:t>Gowing</w:t>
      </w:r>
      <w:proofErr w:type="spellEnd"/>
      <w:r w:rsidRPr="00032E2A">
        <w:rPr>
          <w:rFonts w:cs="Times New Roman"/>
        </w:rPr>
        <w:t xml:space="preserve">, </w:t>
      </w:r>
      <w:r w:rsidRPr="00032E2A">
        <w:rPr>
          <w:rFonts w:cs="Times New Roman"/>
          <w:i/>
        </w:rPr>
        <w:t>Domestic Dangers: Women, Words, and Sex in Early Modern London</w:t>
      </w:r>
      <w:r w:rsidRPr="00032E2A">
        <w:rPr>
          <w:rFonts w:cs="Times New Roman"/>
        </w:rPr>
        <w:t xml:space="preserve"> (Oxford, 1996), pp. 2-26</w:t>
      </w:r>
      <w:r w:rsidR="009E69D5">
        <w:rPr>
          <w:rFonts w:cs="Times New Roman"/>
        </w:rPr>
        <w:t xml:space="preserve">; </w:t>
      </w:r>
      <w:r>
        <w:rPr>
          <w:rFonts w:cs="Times New Roman"/>
        </w:rPr>
        <w:t xml:space="preserve">K. </w:t>
      </w:r>
      <w:proofErr w:type="spellStart"/>
      <w:r>
        <w:rPr>
          <w:rFonts w:cs="Times New Roman"/>
        </w:rPr>
        <w:t>Aughterson</w:t>
      </w:r>
      <w:proofErr w:type="spellEnd"/>
      <w:r>
        <w:rPr>
          <w:rFonts w:cs="Times New Roman"/>
        </w:rPr>
        <w:t xml:space="preserve">, </w:t>
      </w:r>
      <w:r>
        <w:rPr>
          <w:rFonts w:cs="Times New Roman"/>
          <w:i/>
        </w:rPr>
        <w:t>Renaissance Women: Constructions of Femininity in England</w:t>
      </w:r>
      <w:r>
        <w:rPr>
          <w:rFonts w:cs="Times New Roman"/>
        </w:rPr>
        <w:t xml:space="preserve"> (London, 1995), p.67</w:t>
      </w:r>
      <w:r w:rsidR="00CD5660">
        <w:rPr>
          <w:rFonts w:cs="Times New Roman"/>
        </w:rPr>
        <w:t>.</w:t>
      </w:r>
    </w:p>
  </w:footnote>
  <w:footnote w:id="8">
    <w:p w14:paraId="24670E40" w14:textId="73152E09" w:rsidR="00A34AF2" w:rsidRPr="00956BCB" w:rsidRDefault="00A34AF2" w:rsidP="00A34AF2">
      <w:pPr>
        <w:pStyle w:val="FootnoteText"/>
      </w:pPr>
      <w:r>
        <w:rPr>
          <w:rStyle w:val="FootnoteReference"/>
        </w:rPr>
        <w:footnoteRef/>
      </w:r>
      <w:r>
        <w:t xml:space="preserve"> F. Jensen, </w:t>
      </w:r>
      <w:r>
        <w:rPr>
          <w:i/>
        </w:rPr>
        <w:t xml:space="preserve">Reading the Roman Republic in Early Modern </w:t>
      </w:r>
      <w:r w:rsidRPr="009C079B">
        <w:rPr>
          <w:i/>
        </w:rPr>
        <w:t>England</w:t>
      </w:r>
      <w:r>
        <w:t xml:space="preserve"> (Leiden, 2012), pp. 14-5, 26-33; </w:t>
      </w:r>
      <w:r w:rsidRPr="009C079B">
        <w:t>M</w:t>
      </w:r>
      <w:r>
        <w:t xml:space="preserve">. </w:t>
      </w:r>
      <w:proofErr w:type="spellStart"/>
      <w:r>
        <w:t>Peltonen</w:t>
      </w:r>
      <w:proofErr w:type="spellEnd"/>
      <w:r>
        <w:t xml:space="preserve">, </w:t>
      </w:r>
      <w:r w:rsidR="006B14AF">
        <w:rPr>
          <w:i/>
          <w:color w:val="000000"/>
          <w:szCs w:val="18"/>
        </w:rPr>
        <w:t>Classical Humanism and Republicanism in English Political Thought: 1570-1640</w:t>
      </w:r>
      <w:r w:rsidR="006B14AF">
        <w:rPr>
          <w:color w:val="000000"/>
          <w:szCs w:val="18"/>
        </w:rPr>
        <w:t xml:space="preserve"> (Cambridge, 1995), p. 14</w:t>
      </w:r>
      <w:r w:rsidR="00533C8F">
        <w:rPr>
          <w:color w:val="000000"/>
          <w:szCs w:val="18"/>
        </w:rPr>
        <w:t>.</w:t>
      </w:r>
    </w:p>
  </w:footnote>
  <w:footnote w:id="9">
    <w:p w14:paraId="209A78DB" w14:textId="65497B57" w:rsidR="00A34AF2" w:rsidRPr="00050BF1" w:rsidRDefault="00A34AF2" w:rsidP="00A34AF2">
      <w:pPr>
        <w:pStyle w:val="FootnoteText"/>
      </w:pPr>
      <w:r>
        <w:rPr>
          <w:rStyle w:val="FootnoteReference"/>
        </w:rPr>
        <w:footnoteRef/>
      </w:r>
      <w:r>
        <w:t xml:space="preserve"> Jensen, </w:t>
      </w:r>
      <w:r>
        <w:rPr>
          <w:i/>
        </w:rPr>
        <w:t>Reading the Roman Republic</w:t>
      </w:r>
      <w:r>
        <w:t>, p. 66</w:t>
      </w:r>
      <w:r w:rsidR="00050BF1">
        <w:t xml:space="preserve">; F. </w:t>
      </w:r>
      <w:proofErr w:type="spellStart"/>
      <w:r w:rsidR="00050BF1">
        <w:t>Schurink</w:t>
      </w:r>
      <w:proofErr w:type="spellEnd"/>
      <w:r w:rsidR="00050BF1">
        <w:t xml:space="preserve">, ‘Introduction’ in F. </w:t>
      </w:r>
      <w:proofErr w:type="spellStart"/>
      <w:r w:rsidR="00050BF1">
        <w:t>Schurink</w:t>
      </w:r>
      <w:proofErr w:type="spellEnd"/>
      <w:r w:rsidR="00050BF1">
        <w:t xml:space="preserve"> (ed.), </w:t>
      </w:r>
      <w:r w:rsidR="00050BF1">
        <w:rPr>
          <w:i/>
        </w:rPr>
        <w:t>Tudor Translation</w:t>
      </w:r>
      <w:r w:rsidR="00050BF1">
        <w:t xml:space="preserve"> (Basingstoke, 2011), p. 6.</w:t>
      </w:r>
    </w:p>
  </w:footnote>
  <w:footnote w:id="10">
    <w:p w14:paraId="611B2799" w14:textId="77777777" w:rsidR="00A34AF2" w:rsidRPr="004A546E" w:rsidRDefault="00A34AF2" w:rsidP="00A34AF2">
      <w:pPr>
        <w:pStyle w:val="FootnoteText"/>
      </w:pPr>
      <w:r>
        <w:rPr>
          <w:rStyle w:val="FootnoteReference"/>
        </w:rPr>
        <w:footnoteRef/>
      </w:r>
      <w:r>
        <w:t xml:space="preserve"> A. Patterson, </w:t>
      </w:r>
      <w:r>
        <w:rPr>
          <w:i/>
        </w:rPr>
        <w:t>Censorship and Interpretation: The Conditions of Writing and Reading in Early Modern England</w:t>
      </w:r>
      <w:r>
        <w:t xml:space="preserve"> (Wisconsin, 1984), pp. 14-8; Jensen, </w:t>
      </w:r>
      <w:r>
        <w:rPr>
          <w:i/>
        </w:rPr>
        <w:t>Reading the Roman Republic</w:t>
      </w:r>
      <w:r>
        <w:t>, pp. 1-3.</w:t>
      </w:r>
    </w:p>
  </w:footnote>
  <w:footnote w:id="11">
    <w:p w14:paraId="69CB01B4" w14:textId="63F39ADE" w:rsidR="00A34AF2" w:rsidRPr="002F60C0" w:rsidRDefault="00A34AF2" w:rsidP="00A34AF2">
      <w:pPr>
        <w:pStyle w:val="FootnoteText"/>
      </w:pPr>
      <w:r>
        <w:rPr>
          <w:rStyle w:val="FootnoteReference"/>
        </w:rPr>
        <w:footnoteRef/>
      </w:r>
      <w:r>
        <w:t xml:space="preserve"> </w:t>
      </w:r>
      <w:r w:rsidRPr="00D5365B">
        <w:t>P. Lake,</w:t>
      </w:r>
      <w:r>
        <w:t xml:space="preserve"> </w:t>
      </w:r>
      <w:r w:rsidRPr="00D5365B">
        <w:rPr>
          <w:i/>
        </w:rPr>
        <w:t>How Shakespeare Put Politics on the Stage</w:t>
      </w:r>
      <w:r>
        <w:t xml:space="preserve"> (New Haven, 2016), pp. 8-1</w:t>
      </w:r>
      <w:r w:rsidR="002D4CFA">
        <w:t>6</w:t>
      </w:r>
      <w:r>
        <w:t xml:space="preserve">; Jensen, </w:t>
      </w:r>
      <w:r>
        <w:rPr>
          <w:i/>
        </w:rPr>
        <w:t xml:space="preserve">Reading the </w:t>
      </w:r>
      <w:r w:rsidRPr="002F60C0">
        <w:rPr>
          <w:i/>
        </w:rPr>
        <w:t>Roman Republic</w:t>
      </w:r>
      <w:r w:rsidRPr="002F60C0">
        <w:t>, p. 13.</w:t>
      </w:r>
    </w:p>
  </w:footnote>
  <w:footnote w:id="12">
    <w:p w14:paraId="4FF6C5FB" w14:textId="1D74F443" w:rsidR="00F93341" w:rsidRDefault="00F93341" w:rsidP="00F93341">
      <w:pPr>
        <w:pStyle w:val="FootnoteText"/>
      </w:pPr>
      <w:r>
        <w:rPr>
          <w:rStyle w:val="FootnoteReference"/>
        </w:rPr>
        <w:footnoteRef/>
      </w:r>
      <w:r>
        <w:t xml:space="preserve"> Lake, </w:t>
      </w:r>
      <w:r w:rsidRPr="00D5365B">
        <w:rPr>
          <w:i/>
        </w:rPr>
        <w:t>How Shakespeare Put Politics on the Stage</w:t>
      </w:r>
      <w:r>
        <w:t>, p. 12-14</w:t>
      </w:r>
      <w:r w:rsidR="0066284A">
        <w:t>.</w:t>
      </w:r>
    </w:p>
  </w:footnote>
  <w:footnote w:id="13">
    <w:p w14:paraId="45798DB5" w14:textId="5B711D11" w:rsidR="00756AAB" w:rsidRPr="000D66E0" w:rsidRDefault="00756AAB">
      <w:pPr>
        <w:pStyle w:val="FootnoteText"/>
      </w:pPr>
      <w:r w:rsidRPr="002F60C0">
        <w:rPr>
          <w:rStyle w:val="FootnoteReference"/>
        </w:rPr>
        <w:footnoteRef/>
      </w:r>
      <w:r w:rsidRPr="002F60C0">
        <w:t xml:space="preserve"> </w:t>
      </w:r>
      <w:r w:rsidR="0037574E" w:rsidRPr="002F60C0">
        <w:t xml:space="preserve">K. </w:t>
      </w:r>
      <w:proofErr w:type="spellStart"/>
      <w:r w:rsidR="0037574E" w:rsidRPr="002F60C0">
        <w:t>Raber</w:t>
      </w:r>
      <w:proofErr w:type="spellEnd"/>
      <w:r w:rsidR="0037574E" w:rsidRPr="002F60C0">
        <w:t xml:space="preserve">, </w:t>
      </w:r>
      <w:r w:rsidR="0037574E" w:rsidRPr="002F60C0">
        <w:rPr>
          <w:i/>
        </w:rPr>
        <w:t>Dramatic Difference: Gender, Class, and Genre in the Early Modern Closet Drama</w:t>
      </w:r>
      <w:r w:rsidR="0037574E" w:rsidRPr="002F60C0">
        <w:t xml:space="preserve"> (Newark, 2001), p</w:t>
      </w:r>
      <w:r w:rsidR="00BE57AD" w:rsidRPr="002F60C0">
        <w:t>p. 14-22</w:t>
      </w:r>
      <w:r w:rsidR="00C73205">
        <w:t xml:space="preserve">; Lake, </w:t>
      </w:r>
      <w:r w:rsidR="000D66E0" w:rsidRPr="00D5365B">
        <w:rPr>
          <w:i/>
        </w:rPr>
        <w:t>How Shakespeare Put Politics on the Stage</w:t>
      </w:r>
      <w:r w:rsidR="000D66E0">
        <w:t>, p. 49</w:t>
      </w:r>
      <w:r w:rsidR="0066284A">
        <w:t>.</w:t>
      </w:r>
    </w:p>
  </w:footnote>
  <w:footnote w:id="14">
    <w:p w14:paraId="50CA8B43" w14:textId="23ABBE89" w:rsidR="00FB3F4F" w:rsidRPr="008211AB" w:rsidRDefault="00FB3F4F">
      <w:pPr>
        <w:pStyle w:val="FootnoteText"/>
        <w:rPr>
          <w:rFonts w:cs="Times New Roman"/>
        </w:rPr>
      </w:pPr>
      <w:r w:rsidRPr="00032E2A">
        <w:rPr>
          <w:rStyle w:val="FootnoteReference"/>
          <w:rFonts w:cs="Times New Roman"/>
        </w:rPr>
        <w:footnoteRef/>
      </w:r>
      <w:r w:rsidRPr="00032E2A">
        <w:rPr>
          <w:rFonts w:cs="Times New Roman"/>
        </w:rPr>
        <w:t xml:space="preserve"> </w:t>
      </w:r>
      <w:r>
        <w:rPr>
          <w:rFonts w:cs="Times New Roman"/>
        </w:rPr>
        <w:t xml:space="preserve">On neo-stoic influences see </w:t>
      </w:r>
      <w:r w:rsidRPr="00032E2A">
        <w:rPr>
          <w:rFonts w:cs="Times New Roman"/>
        </w:rPr>
        <w:t xml:space="preserve">G. Miles, </w:t>
      </w:r>
      <w:r w:rsidRPr="00032E2A">
        <w:rPr>
          <w:rFonts w:cs="Times New Roman"/>
          <w:i/>
        </w:rPr>
        <w:t>Shakespeare and the Constant Romans</w:t>
      </w:r>
      <w:r w:rsidRPr="00032E2A">
        <w:rPr>
          <w:rFonts w:cs="Times New Roman"/>
        </w:rPr>
        <w:t xml:space="preserve"> (Oxford, 1996), pp. 1-17</w:t>
      </w:r>
      <w:r>
        <w:rPr>
          <w:rFonts w:cs="Times New Roman"/>
        </w:rPr>
        <w:t xml:space="preserve">. On constancy </w:t>
      </w:r>
      <w:r w:rsidR="0033541E">
        <w:rPr>
          <w:rFonts w:cs="Times New Roman"/>
        </w:rPr>
        <w:t xml:space="preserve">and </w:t>
      </w:r>
      <w:r>
        <w:rPr>
          <w:rFonts w:cs="Times New Roman"/>
        </w:rPr>
        <w:t xml:space="preserve">women see L. </w:t>
      </w:r>
      <w:proofErr w:type="spellStart"/>
      <w:r>
        <w:rPr>
          <w:rFonts w:cs="Times New Roman"/>
        </w:rPr>
        <w:t>Gowing</w:t>
      </w:r>
      <w:proofErr w:type="spellEnd"/>
      <w:r>
        <w:rPr>
          <w:rFonts w:cs="Times New Roman"/>
        </w:rPr>
        <w:t xml:space="preserve">, </w:t>
      </w:r>
      <w:r>
        <w:rPr>
          <w:rFonts w:cs="Times New Roman"/>
          <w:i/>
        </w:rPr>
        <w:t>Gender Relations in Early Modern England</w:t>
      </w:r>
      <w:r>
        <w:rPr>
          <w:rFonts w:cs="Times New Roman"/>
        </w:rPr>
        <w:t xml:space="preserve"> (Harlow, 2012), pp. 17-25</w:t>
      </w:r>
      <w:r w:rsidR="00CD5660">
        <w:rPr>
          <w:rFonts w:cs="Times New Roman"/>
        </w:rPr>
        <w:t>.</w:t>
      </w:r>
    </w:p>
  </w:footnote>
  <w:footnote w:id="15">
    <w:p w14:paraId="18F171D1" w14:textId="2ACB7513" w:rsidR="004D7CE4" w:rsidRDefault="004D7CE4">
      <w:pPr>
        <w:pStyle w:val="FootnoteText"/>
      </w:pPr>
      <w:r>
        <w:rPr>
          <w:rStyle w:val="FootnoteReference"/>
        </w:rPr>
        <w:footnoteRef/>
      </w:r>
      <w:r>
        <w:t xml:space="preserve"> </w:t>
      </w:r>
      <w:r w:rsidR="00310C35">
        <w:t xml:space="preserve">Jensen, </w:t>
      </w:r>
      <w:r w:rsidR="00310C35">
        <w:rPr>
          <w:i/>
        </w:rPr>
        <w:t xml:space="preserve">Reading the </w:t>
      </w:r>
      <w:r w:rsidR="00310C35" w:rsidRPr="002F60C0">
        <w:rPr>
          <w:i/>
        </w:rPr>
        <w:t>Roman Republic</w:t>
      </w:r>
      <w:r w:rsidR="00310C35" w:rsidRPr="002F60C0">
        <w:t>,</w:t>
      </w:r>
      <w:r w:rsidR="00310C35">
        <w:t xml:space="preserve"> pp. 3-7</w:t>
      </w:r>
      <w:r w:rsidR="0066284A">
        <w:t>.</w:t>
      </w:r>
    </w:p>
  </w:footnote>
  <w:footnote w:id="16">
    <w:p w14:paraId="73D41300" w14:textId="1628B9D7" w:rsidR="00FB3F4F" w:rsidRDefault="00FB3F4F">
      <w:pPr>
        <w:pStyle w:val="FootnoteText"/>
      </w:pPr>
      <w:r>
        <w:rPr>
          <w:rStyle w:val="FootnoteReference"/>
        </w:rPr>
        <w:footnoteRef/>
      </w:r>
      <w:r>
        <w:t xml:space="preserve"> A. Hadfield, ‘</w:t>
      </w:r>
      <w:proofErr w:type="spellStart"/>
      <w:r>
        <w:t>Duessa’s</w:t>
      </w:r>
      <w:proofErr w:type="spellEnd"/>
      <w:r>
        <w:t xml:space="preserve"> Trial and Elizabeth’s Error: Judging Elizabeth in Spenser’s </w:t>
      </w:r>
      <w:r>
        <w:rPr>
          <w:i/>
        </w:rPr>
        <w:t xml:space="preserve">The Faerie </w:t>
      </w:r>
      <w:proofErr w:type="spellStart"/>
      <w:r>
        <w:rPr>
          <w:i/>
        </w:rPr>
        <w:t>Queene</w:t>
      </w:r>
      <w:proofErr w:type="spellEnd"/>
      <w:r>
        <w:t xml:space="preserve">’, in </w:t>
      </w:r>
      <w:r>
        <w:rPr>
          <w:i/>
        </w:rPr>
        <w:t>The Myth of Elizabeth</w:t>
      </w:r>
      <w:r w:rsidR="00BB6F68">
        <w:t xml:space="preserve"> (2003);</w:t>
      </w:r>
      <w:r>
        <w:t xml:space="preserve"> P. Benson, ‘Praise and defence of the Queen in </w:t>
      </w:r>
      <w:r>
        <w:rPr>
          <w:i/>
        </w:rPr>
        <w:t xml:space="preserve">The Faerie </w:t>
      </w:r>
      <w:proofErr w:type="spellStart"/>
      <w:r>
        <w:rPr>
          <w:i/>
        </w:rPr>
        <w:t>Queene</w:t>
      </w:r>
      <w:proofErr w:type="spellEnd"/>
      <w:r w:rsidRPr="006F0810">
        <w:t>, Book V</w:t>
      </w:r>
      <w:r>
        <w:t xml:space="preserve">’ in A. Hadfield (ed.), </w:t>
      </w:r>
      <w:r>
        <w:rPr>
          <w:i/>
        </w:rPr>
        <w:t>Edmund Spenser</w:t>
      </w:r>
      <w:r>
        <w:t xml:space="preserve"> (London, 1996); K. Eggert, ‘Nostalgia and the Not Yet Late Queen: Refusing Female Rule in </w:t>
      </w:r>
      <w:r w:rsidRPr="00BD3A80">
        <w:rPr>
          <w:i/>
        </w:rPr>
        <w:t>Henry V</w:t>
      </w:r>
      <w:r w:rsidRPr="00BD3A80">
        <w:t>’,</w:t>
      </w:r>
      <w:r>
        <w:t xml:space="preserve"> </w:t>
      </w:r>
      <w:r>
        <w:rPr>
          <w:i/>
        </w:rPr>
        <w:t>English Literary History</w:t>
      </w:r>
      <w:r>
        <w:t>, 61/3 (1994)</w:t>
      </w:r>
      <w:r w:rsidR="00CD5660">
        <w:t>.</w:t>
      </w:r>
    </w:p>
  </w:footnote>
  <w:footnote w:id="17">
    <w:p w14:paraId="42B48C50" w14:textId="1F9BD4B4" w:rsidR="00FB3F4F" w:rsidRDefault="00FB3F4F">
      <w:pPr>
        <w:pStyle w:val="FootnoteText"/>
      </w:pPr>
      <w:r>
        <w:rPr>
          <w:rStyle w:val="FootnoteReference"/>
        </w:rPr>
        <w:footnoteRef/>
      </w:r>
      <w:r>
        <w:t xml:space="preserve"> A. Hadfield, </w:t>
      </w:r>
      <w:r>
        <w:rPr>
          <w:i/>
        </w:rPr>
        <w:t>Shakespeare and Republicanism</w:t>
      </w:r>
      <w:r>
        <w:t xml:space="preserve"> (Cambridge, 2005)</w:t>
      </w:r>
      <w:r w:rsidR="00CD5660">
        <w:t>;</w:t>
      </w:r>
      <w:r>
        <w:t xml:space="preserve"> </w:t>
      </w:r>
      <w:r w:rsidRPr="00D5365B">
        <w:t>Lake,</w:t>
      </w:r>
      <w:r>
        <w:t xml:space="preserve"> </w:t>
      </w:r>
      <w:r w:rsidRPr="00D5365B">
        <w:rPr>
          <w:i/>
        </w:rPr>
        <w:t>How Shakespeare Put Politics on the Stage</w:t>
      </w:r>
      <w:r w:rsidR="00BB46E2">
        <w:t>.</w:t>
      </w:r>
    </w:p>
  </w:footnote>
  <w:footnote w:id="18">
    <w:p w14:paraId="054D6941" w14:textId="6CC5188A" w:rsidR="00FB3F4F" w:rsidRPr="00032E2A" w:rsidRDefault="00FB3F4F">
      <w:pPr>
        <w:pStyle w:val="FootnoteText"/>
        <w:rPr>
          <w:rFonts w:cs="Times New Roman"/>
        </w:rPr>
      </w:pPr>
      <w:r w:rsidRPr="00032E2A">
        <w:rPr>
          <w:rStyle w:val="FootnoteReference"/>
          <w:rFonts w:cs="Times New Roman"/>
        </w:rPr>
        <w:footnoteRef/>
      </w:r>
      <w:r w:rsidRPr="00032E2A">
        <w:rPr>
          <w:rFonts w:cs="Times New Roman"/>
        </w:rPr>
        <w:t xml:space="preserve"> </w:t>
      </w:r>
      <w:r w:rsidR="00872CE2">
        <w:rPr>
          <w:rFonts w:cs="Times New Roman"/>
        </w:rPr>
        <w:t>J</w:t>
      </w:r>
      <w:r w:rsidR="00003D65">
        <w:rPr>
          <w:rFonts w:cs="Times New Roman"/>
        </w:rPr>
        <w:t>ohn</w:t>
      </w:r>
      <w:r w:rsidR="00872CE2">
        <w:rPr>
          <w:rFonts w:cs="Times New Roman"/>
        </w:rPr>
        <w:t xml:space="preserve"> Jewel, </w:t>
      </w:r>
      <w:r w:rsidRPr="00032E2A">
        <w:rPr>
          <w:rFonts w:cs="Times New Roman"/>
        </w:rPr>
        <w:t xml:space="preserve">‘A homily of the state of matrimony’ in I. Archer and F.D. Price (ed.), </w:t>
      </w:r>
      <w:r w:rsidRPr="00032E2A">
        <w:rPr>
          <w:rFonts w:cs="Times New Roman"/>
          <w:i/>
        </w:rPr>
        <w:t xml:space="preserve">English Historical Documents, Volume V (A): 1558-1603 </w:t>
      </w:r>
      <w:r w:rsidRPr="00032E2A">
        <w:rPr>
          <w:rFonts w:cs="Times New Roman"/>
        </w:rPr>
        <w:t>(London, 2011), p. 505</w:t>
      </w:r>
      <w:r w:rsidR="00CD5660">
        <w:rPr>
          <w:rFonts w:cs="Times New Roman"/>
        </w:rPr>
        <w:t>.</w:t>
      </w:r>
    </w:p>
  </w:footnote>
  <w:footnote w:id="19">
    <w:p w14:paraId="05CB82E9" w14:textId="1E215B53" w:rsidR="00FB3F4F" w:rsidRPr="00D5365B" w:rsidRDefault="00FB3F4F">
      <w:pPr>
        <w:pStyle w:val="FootnoteText"/>
        <w:rPr>
          <w:rFonts w:cs="Times New Roman"/>
        </w:rPr>
      </w:pPr>
      <w:r w:rsidRPr="00032E2A">
        <w:rPr>
          <w:rStyle w:val="FootnoteReference"/>
          <w:rFonts w:cs="Times New Roman"/>
        </w:rPr>
        <w:footnoteRef/>
      </w:r>
      <w:r w:rsidRPr="00032E2A">
        <w:rPr>
          <w:rFonts w:cs="Times New Roman"/>
        </w:rPr>
        <w:t xml:space="preserve"> T</w:t>
      </w:r>
      <w:r w:rsidR="00003D65">
        <w:rPr>
          <w:rFonts w:cs="Times New Roman"/>
        </w:rPr>
        <w:t>homas</w:t>
      </w:r>
      <w:r w:rsidRPr="00032E2A">
        <w:rPr>
          <w:rFonts w:cs="Times New Roman"/>
        </w:rPr>
        <w:t xml:space="preserve"> </w:t>
      </w:r>
      <w:proofErr w:type="spellStart"/>
      <w:r w:rsidRPr="00032E2A">
        <w:rPr>
          <w:rFonts w:cs="Times New Roman"/>
        </w:rPr>
        <w:t>Becon</w:t>
      </w:r>
      <w:proofErr w:type="spellEnd"/>
      <w:r w:rsidRPr="00032E2A">
        <w:rPr>
          <w:rFonts w:cs="Times New Roman"/>
        </w:rPr>
        <w:t xml:space="preserve">, ‘Catechism’ in </w:t>
      </w:r>
      <w:r>
        <w:rPr>
          <w:rFonts w:cs="Times New Roman"/>
          <w:i/>
        </w:rPr>
        <w:t xml:space="preserve">The </w:t>
      </w:r>
      <w:proofErr w:type="spellStart"/>
      <w:r>
        <w:rPr>
          <w:rFonts w:cs="Times New Roman"/>
          <w:i/>
        </w:rPr>
        <w:t>Worckes</w:t>
      </w:r>
      <w:proofErr w:type="spellEnd"/>
      <w:r>
        <w:rPr>
          <w:rFonts w:cs="Times New Roman"/>
          <w:i/>
        </w:rPr>
        <w:t xml:space="preserve"> of Thomas </w:t>
      </w:r>
      <w:proofErr w:type="spellStart"/>
      <w:r>
        <w:rPr>
          <w:rFonts w:cs="Times New Roman"/>
          <w:i/>
        </w:rPr>
        <w:t>Becon</w:t>
      </w:r>
      <w:proofErr w:type="spellEnd"/>
      <w:r>
        <w:rPr>
          <w:rFonts w:cs="Times New Roman"/>
        </w:rPr>
        <w:t xml:space="preserve"> (London, 1564), </w:t>
      </w:r>
      <w:proofErr w:type="spellStart"/>
      <w:r>
        <w:rPr>
          <w:rFonts w:cs="Times New Roman"/>
        </w:rPr>
        <w:t>Fol</w:t>
      </w:r>
      <w:proofErr w:type="spellEnd"/>
      <w:r>
        <w:rPr>
          <w:rFonts w:cs="Times New Roman"/>
        </w:rPr>
        <w:t xml:space="preserve"> 513r</w:t>
      </w:r>
      <w:r w:rsidR="00CD5660">
        <w:rPr>
          <w:rFonts w:cs="Times New Roman"/>
        </w:rPr>
        <w:t>.</w:t>
      </w:r>
    </w:p>
  </w:footnote>
  <w:footnote w:id="20">
    <w:p w14:paraId="6B69E322" w14:textId="00B93807" w:rsidR="00FB3F4F" w:rsidRPr="000275D1" w:rsidRDefault="00FB3F4F">
      <w:pPr>
        <w:pStyle w:val="FootnoteText"/>
        <w:rPr>
          <w:rFonts w:cs="Times New Roman"/>
        </w:rPr>
      </w:pPr>
      <w:r w:rsidRPr="00032E2A">
        <w:rPr>
          <w:rStyle w:val="FootnoteReference"/>
          <w:rFonts w:cs="Times New Roman"/>
        </w:rPr>
        <w:footnoteRef/>
      </w:r>
      <w:r w:rsidRPr="00032E2A">
        <w:rPr>
          <w:rFonts w:cs="Times New Roman"/>
        </w:rPr>
        <w:t xml:space="preserve"> S</w:t>
      </w:r>
      <w:r w:rsidR="00003D65">
        <w:rPr>
          <w:rFonts w:cs="Times New Roman"/>
        </w:rPr>
        <w:t>amuel</w:t>
      </w:r>
      <w:r w:rsidRPr="00032E2A">
        <w:rPr>
          <w:rFonts w:cs="Times New Roman"/>
        </w:rPr>
        <w:t xml:space="preserve"> Rowlands, </w:t>
      </w:r>
      <w:r w:rsidRPr="000275D1">
        <w:rPr>
          <w:rFonts w:cs="Times New Roman"/>
          <w:i/>
        </w:rPr>
        <w:t>The Bride</w:t>
      </w:r>
      <w:r>
        <w:rPr>
          <w:rFonts w:cs="Times New Roman"/>
        </w:rPr>
        <w:t xml:space="preserve"> (London, 1617), sig. E3r</w:t>
      </w:r>
      <w:r w:rsidR="00CD5660">
        <w:rPr>
          <w:rFonts w:cs="Times New Roman"/>
        </w:rPr>
        <w:t>.</w:t>
      </w:r>
    </w:p>
  </w:footnote>
  <w:footnote w:id="21">
    <w:p w14:paraId="583B7BEC" w14:textId="5CA712D9" w:rsidR="00FB3F4F" w:rsidRPr="00032E2A" w:rsidRDefault="00FB3F4F">
      <w:pPr>
        <w:pStyle w:val="FootnoteText"/>
        <w:rPr>
          <w:rFonts w:cs="Times New Roman"/>
        </w:rPr>
      </w:pPr>
      <w:r w:rsidRPr="00032E2A">
        <w:rPr>
          <w:rStyle w:val="FootnoteReference"/>
          <w:rFonts w:cs="Times New Roman"/>
        </w:rPr>
        <w:footnoteRef/>
      </w:r>
      <w:r w:rsidRPr="00032E2A">
        <w:rPr>
          <w:rFonts w:cs="Times New Roman"/>
        </w:rPr>
        <w:t xml:space="preserve"> H</w:t>
      </w:r>
      <w:r w:rsidR="001F12CB">
        <w:rPr>
          <w:rFonts w:cs="Times New Roman"/>
        </w:rPr>
        <w:t>enry</w:t>
      </w:r>
      <w:r w:rsidRPr="00032E2A">
        <w:rPr>
          <w:rFonts w:cs="Times New Roman"/>
        </w:rPr>
        <w:t xml:space="preserve"> Smith, </w:t>
      </w:r>
      <w:r w:rsidRPr="007E346E">
        <w:rPr>
          <w:rFonts w:cs="Times New Roman"/>
          <w:i/>
        </w:rPr>
        <w:t>A Preparative to Marriage</w:t>
      </w:r>
      <w:r>
        <w:rPr>
          <w:rFonts w:cs="Times New Roman"/>
        </w:rPr>
        <w:t xml:space="preserve"> (London, 1591), p. 59</w:t>
      </w:r>
      <w:r w:rsidR="00CD5660">
        <w:rPr>
          <w:rFonts w:cs="Times New Roman"/>
        </w:rPr>
        <w:t>.</w:t>
      </w:r>
    </w:p>
  </w:footnote>
  <w:footnote w:id="22">
    <w:p w14:paraId="1A7899E3" w14:textId="6801439C" w:rsidR="00FB3F4F" w:rsidRPr="00032E2A" w:rsidRDefault="00FB3F4F">
      <w:pPr>
        <w:pStyle w:val="FootnoteText"/>
        <w:rPr>
          <w:rFonts w:cs="Times New Roman"/>
        </w:rPr>
      </w:pPr>
      <w:r w:rsidRPr="00032E2A">
        <w:rPr>
          <w:rStyle w:val="FootnoteReference"/>
          <w:rFonts w:cs="Times New Roman"/>
        </w:rPr>
        <w:footnoteRef/>
      </w:r>
      <w:r w:rsidRPr="00032E2A">
        <w:rPr>
          <w:rFonts w:cs="Times New Roman"/>
        </w:rPr>
        <w:t xml:space="preserve"> </w:t>
      </w:r>
      <w:r w:rsidR="00872CE2">
        <w:rPr>
          <w:rFonts w:cs="Times New Roman"/>
        </w:rPr>
        <w:t xml:space="preserve">Jewel, </w:t>
      </w:r>
      <w:r w:rsidRPr="00032E2A">
        <w:rPr>
          <w:rFonts w:cs="Times New Roman"/>
        </w:rPr>
        <w:t>‘A homily of the state of matrimony’</w:t>
      </w:r>
      <w:r>
        <w:rPr>
          <w:rFonts w:cs="Times New Roman"/>
        </w:rPr>
        <w:t>,</w:t>
      </w:r>
      <w:r w:rsidRPr="00032E2A">
        <w:rPr>
          <w:rFonts w:cs="Times New Roman"/>
        </w:rPr>
        <w:t xml:space="preserve"> pp. 505-6</w:t>
      </w:r>
      <w:r w:rsidR="00CD5660">
        <w:rPr>
          <w:rFonts w:cs="Times New Roman"/>
        </w:rPr>
        <w:t>.</w:t>
      </w:r>
    </w:p>
  </w:footnote>
  <w:footnote w:id="23">
    <w:p w14:paraId="1FB44E24" w14:textId="5BAC98CE" w:rsidR="00FB3F4F" w:rsidRPr="00032E2A" w:rsidRDefault="00FB3F4F">
      <w:pPr>
        <w:pStyle w:val="FootnoteText"/>
        <w:rPr>
          <w:rFonts w:cs="Times New Roman"/>
        </w:rPr>
      </w:pPr>
      <w:r w:rsidRPr="00032E2A">
        <w:rPr>
          <w:rStyle w:val="FootnoteReference"/>
          <w:rFonts w:cs="Times New Roman"/>
        </w:rPr>
        <w:footnoteRef/>
      </w:r>
      <w:r w:rsidRPr="00032E2A">
        <w:rPr>
          <w:rFonts w:cs="Times New Roman"/>
        </w:rPr>
        <w:t xml:space="preserve"> J</w:t>
      </w:r>
      <w:r w:rsidR="00103B7F">
        <w:rPr>
          <w:rFonts w:cs="Times New Roman"/>
        </w:rPr>
        <w:t>ohn</w:t>
      </w:r>
      <w:r w:rsidRPr="00032E2A">
        <w:rPr>
          <w:rFonts w:cs="Times New Roman"/>
        </w:rPr>
        <w:t xml:space="preserve"> Knox, </w:t>
      </w:r>
      <w:r w:rsidRPr="005E5464">
        <w:rPr>
          <w:rFonts w:cs="Times New Roman"/>
          <w:i/>
        </w:rPr>
        <w:t>The first blast of the trumpet against the monstrous regiment of women</w:t>
      </w:r>
      <w:r>
        <w:rPr>
          <w:rFonts w:cs="Times New Roman"/>
        </w:rPr>
        <w:t xml:space="preserve"> (Geneva, 1558), p. 10</w:t>
      </w:r>
      <w:r w:rsidR="00CD5660">
        <w:rPr>
          <w:rFonts w:cs="Times New Roman"/>
        </w:rPr>
        <w:t>.</w:t>
      </w:r>
    </w:p>
  </w:footnote>
  <w:footnote w:id="24">
    <w:p w14:paraId="63268927" w14:textId="39C781E7" w:rsidR="00FB3F4F" w:rsidRPr="00032E2A" w:rsidRDefault="00FB3F4F">
      <w:pPr>
        <w:pStyle w:val="FootnoteText"/>
        <w:rPr>
          <w:rFonts w:cs="Times New Roman"/>
        </w:rPr>
      </w:pPr>
      <w:r w:rsidRPr="00032E2A">
        <w:rPr>
          <w:rStyle w:val="FootnoteReference"/>
          <w:rFonts w:cs="Times New Roman"/>
        </w:rPr>
        <w:footnoteRef/>
      </w:r>
      <w:r w:rsidRPr="00032E2A">
        <w:rPr>
          <w:rFonts w:cs="Times New Roman"/>
        </w:rPr>
        <w:t xml:space="preserve"> </w:t>
      </w:r>
      <w:r>
        <w:rPr>
          <w:rFonts w:cs="Times New Roman"/>
        </w:rPr>
        <w:t>T</w:t>
      </w:r>
      <w:r w:rsidR="00103B7F">
        <w:rPr>
          <w:rFonts w:cs="Times New Roman"/>
        </w:rPr>
        <w:t>homas</w:t>
      </w:r>
      <w:r>
        <w:rPr>
          <w:rFonts w:cs="Times New Roman"/>
        </w:rPr>
        <w:t xml:space="preserve"> </w:t>
      </w:r>
      <w:r w:rsidRPr="00032E2A">
        <w:rPr>
          <w:rFonts w:cs="Times New Roman"/>
        </w:rPr>
        <w:t xml:space="preserve">Elyot, </w:t>
      </w:r>
      <w:r w:rsidRPr="00032E2A">
        <w:rPr>
          <w:rFonts w:cs="Times New Roman"/>
          <w:i/>
        </w:rPr>
        <w:t>The Boke named The Governor</w:t>
      </w:r>
      <w:r w:rsidRPr="00032E2A">
        <w:rPr>
          <w:rFonts w:cs="Times New Roman"/>
        </w:rPr>
        <w:t>, ed. S</w:t>
      </w:r>
      <w:r w:rsidR="007D1C8F">
        <w:rPr>
          <w:rFonts w:cs="Times New Roman"/>
        </w:rPr>
        <w:t>.E.</w:t>
      </w:r>
      <w:r w:rsidRPr="00032E2A">
        <w:rPr>
          <w:rFonts w:cs="Times New Roman"/>
        </w:rPr>
        <w:t xml:space="preserve"> Lehmberg </w:t>
      </w:r>
      <w:r w:rsidR="00660145">
        <w:rPr>
          <w:rFonts w:cs="Times New Roman"/>
        </w:rPr>
        <w:t>(</w:t>
      </w:r>
      <w:r w:rsidRPr="00032E2A">
        <w:rPr>
          <w:rFonts w:cs="Times New Roman"/>
        </w:rPr>
        <w:t>London, 1962), p</w:t>
      </w:r>
      <w:r>
        <w:rPr>
          <w:rFonts w:cs="Times New Roman"/>
        </w:rPr>
        <w:t>p</w:t>
      </w:r>
      <w:r w:rsidRPr="00032E2A">
        <w:rPr>
          <w:rFonts w:cs="Times New Roman"/>
        </w:rPr>
        <w:t>. 206-7</w:t>
      </w:r>
      <w:r w:rsidR="00CD5660">
        <w:rPr>
          <w:rFonts w:cs="Times New Roman"/>
        </w:rPr>
        <w:t>.</w:t>
      </w:r>
    </w:p>
  </w:footnote>
  <w:footnote w:id="25">
    <w:p w14:paraId="58688159" w14:textId="173DDA8E" w:rsidR="00FB3F4F" w:rsidRPr="00032E2A" w:rsidRDefault="00FB3F4F">
      <w:pPr>
        <w:pStyle w:val="FootnoteText"/>
        <w:rPr>
          <w:rFonts w:cs="Times New Roman"/>
        </w:rPr>
      </w:pPr>
      <w:r w:rsidRPr="00CD6C13">
        <w:rPr>
          <w:rStyle w:val="FootnoteReference"/>
          <w:rFonts w:cs="Times New Roman"/>
        </w:rPr>
        <w:footnoteRef/>
      </w:r>
      <w:r w:rsidRPr="00CD6C13">
        <w:rPr>
          <w:rFonts w:cs="Times New Roman"/>
        </w:rPr>
        <w:t xml:space="preserve"> B</w:t>
      </w:r>
      <w:r w:rsidR="003B2434">
        <w:rPr>
          <w:rFonts w:cs="Times New Roman"/>
        </w:rPr>
        <w:t>ald</w:t>
      </w:r>
      <w:r w:rsidR="0043736C">
        <w:rPr>
          <w:rFonts w:cs="Times New Roman"/>
        </w:rPr>
        <w:t>as</w:t>
      </w:r>
      <w:r w:rsidR="003B2434">
        <w:rPr>
          <w:rFonts w:cs="Times New Roman"/>
        </w:rPr>
        <w:t>sar</w:t>
      </w:r>
      <w:r w:rsidR="0043736C">
        <w:rPr>
          <w:rFonts w:cs="Times New Roman"/>
        </w:rPr>
        <w:t>e</w:t>
      </w:r>
      <w:r w:rsidRPr="00CD6C13">
        <w:rPr>
          <w:rFonts w:cs="Times New Roman"/>
        </w:rPr>
        <w:t xml:space="preserve"> Castiglione, </w:t>
      </w:r>
      <w:r w:rsidRPr="00CD6C13">
        <w:rPr>
          <w:rFonts w:cs="Times New Roman"/>
          <w:i/>
        </w:rPr>
        <w:t xml:space="preserve">The </w:t>
      </w:r>
      <w:proofErr w:type="spellStart"/>
      <w:r w:rsidRPr="00CD6C13">
        <w:rPr>
          <w:rFonts w:cs="Times New Roman"/>
          <w:i/>
        </w:rPr>
        <w:t>courtyer</w:t>
      </w:r>
      <w:proofErr w:type="spellEnd"/>
      <w:r w:rsidRPr="00CD6C13">
        <w:rPr>
          <w:rFonts w:cs="Times New Roman"/>
          <w:i/>
        </w:rPr>
        <w:t xml:space="preserve"> of Count </w:t>
      </w:r>
      <w:proofErr w:type="spellStart"/>
      <w:r w:rsidRPr="00CD6C13">
        <w:rPr>
          <w:rFonts w:cs="Times New Roman"/>
          <w:i/>
        </w:rPr>
        <w:t>Baldessar</w:t>
      </w:r>
      <w:proofErr w:type="spellEnd"/>
      <w:r w:rsidRPr="00CD6C13">
        <w:rPr>
          <w:rFonts w:cs="Times New Roman"/>
          <w:i/>
        </w:rPr>
        <w:t xml:space="preserve"> </w:t>
      </w:r>
      <w:proofErr w:type="spellStart"/>
      <w:r w:rsidRPr="00CD6C13">
        <w:rPr>
          <w:rFonts w:cs="Times New Roman"/>
          <w:i/>
        </w:rPr>
        <w:t>Castilio</w:t>
      </w:r>
      <w:proofErr w:type="spellEnd"/>
      <w:r w:rsidR="004654B4">
        <w:rPr>
          <w:rFonts w:cs="Times New Roman"/>
        </w:rPr>
        <w:t>,</w:t>
      </w:r>
      <w:r w:rsidR="00A70B55">
        <w:rPr>
          <w:rFonts w:cs="Times New Roman"/>
        </w:rPr>
        <w:t xml:space="preserve"> </w:t>
      </w:r>
      <w:r w:rsidRPr="00CD6C13">
        <w:rPr>
          <w:rFonts w:cs="Times New Roman"/>
        </w:rPr>
        <w:t>trans</w:t>
      </w:r>
      <w:r>
        <w:rPr>
          <w:rFonts w:cs="Times New Roman"/>
        </w:rPr>
        <w:t>.</w:t>
      </w:r>
      <w:r w:rsidRPr="00CD6C13">
        <w:rPr>
          <w:rFonts w:cs="Times New Roman"/>
        </w:rPr>
        <w:t xml:space="preserve"> T. </w:t>
      </w:r>
      <w:proofErr w:type="spellStart"/>
      <w:r w:rsidRPr="00CD6C13">
        <w:rPr>
          <w:rFonts w:cs="Times New Roman"/>
        </w:rPr>
        <w:t>Hoby</w:t>
      </w:r>
      <w:proofErr w:type="spellEnd"/>
      <w:r w:rsidRPr="00CD6C13">
        <w:rPr>
          <w:rFonts w:cs="Times New Roman"/>
        </w:rPr>
        <w:t xml:space="preserve"> (London, 1561), sig. Dd2v</w:t>
      </w:r>
      <w:r w:rsidR="00CD5660">
        <w:rPr>
          <w:rFonts w:cs="Times New Roman"/>
        </w:rPr>
        <w:t>.</w:t>
      </w:r>
    </w:p>
  </w:footnote>
  <w:footnote w:id="26">
    <w:p w14:paraId="3C37078D" w14:textId="4C8EB5EF" w:rsidR="00FB3F4F" w:rsidRPr="00923092" w:rsidRDefault="00FB3F4F">
      <w:pPr>
        <w:pStyle w:val="FootnoteText"/>
        <w:rPr>
          <w:rFonts w:cs="Times New Roman"/>
        </w:rPr>
      </w:pPr>
      <w:r w:rsidRPr="00032E2A">
        <w:rPr>
          <w:rStyle w:val="FootnoteReference"/>
          <w:rFonts w:cs="Times New Roman"/>
        </w:rPr>
        <w:footnoteRef/>
      </w:r>
      <w:r w:rsidRPr="00032E2A">
        <w:rPr>
          <w:rFonts w:cs="Times New Roman"/>
        </w:rPr>
        <w:t xml:space="preserve"> </w:t>
      </w:r>
      <w:r w:rsidR="00D17D65">
        <w:rPr>
          <w:rFonts w:cs="Times New Roman"/>
        </w:rPr>
        <w:t>Castiglione’s</w:t>
      </w:r>
      <w:r w:rsidRPr="00032E2A">
        <w:rPr>
          <w:rFonts w:cs="Times New Roman"/>
        </w:rPr>
        <w:t xml:space="preserve"> ‘Cornelia’</w:t>
      </w:r>
      <w:r w:rsidR="00D17D65">
        <w:rPr>
          <w:rFonts w:cs="Times New Roman"/>
        </w:rPr>
        <w:t xml:space="preserve"> </w:t>
      </w:r>
      <w:r w:rsidRPr="00032E2A">
        <w:rPr>
          <w:rFonts w:cs="Times New Roman"/>
        </w:rPr>
        <w:t xml:space="preserve">is </w:t>
      </w:r>
      <w:r>
        <w:rPr>
          <w:rFonts w:cs="Times New Roman"/>
        </w:rPr>
        <w:t>ambiguous</w:t>
      </w:r>
      <w:r w:rsidRPr="00032E2A">
        <w:rPr>
          <w:rFonts w:cs="Times New Roman"/>
        </w:rPr>
        <w:t>. George Bull</w:t>
      </w:r>
      <w:r>
        <w:rPr>
          <w:rFonts w:cs="Times New Roman"/>
        </w:rPr>
        <w:t>,</w:t>
      </w:r>
      <w:r w:rsidRPr="00032E2A">
        <w:rPr>
          <w:rFonts w:cs="Times New Roman"/>
        </w:rPr>
        <w:t xml:space="preserve"> in the Penguin Classics edition (2003), identifies Cornelia as the mother of the Gracchi rather than Cornelia, wife of Pompey, as in the Garnier play (Book III, n. 5). However, since Castiglione identifies Cornelia only by her father’s</w:t>
      </w:r>
      <w:r w:rsidR="00981CD9">
        <w:rPr>
          <w:rFonts w:cs="Times New Roman"/>
        </w:rPr>
        <w:t xml:space="preserve"> family</w:t>
      </w:r>
      <w:r w:rsidRPr="00032E2A">
        <w:rPr>
          <w:rFonts w:cs="Times New Roman"/>
        </w:rPr>
        <w:t xml:space="preserve"> name, Scipio, which could apply to either woman, it is impossible to be sure which he means. Castiglione </w:t>
      </w:r>
      <w:r w:rsidR="00E04D67">
        <w:rPr>
          <w:rFonts w:cs="Times New Roman"/>
        </w:rPr>
        <w:t>probably</w:t>
      </w:r>
      <w:r w:rsidRPr="00032E2A">
        <w:rPr>
          <w:rFonts w:cs="Times New Roman"/>
        </w:rPr>
        <w:t xml:space="preserve"> meant Pompey’s Cornelia because Plutarch praises her in his </w:t>
      </w:r>
      <w:r w:rsidR="00D722F7">
        <w:rPr>
          <w:rFonts w:cs="Times New Roman"/>
          <w:i/>
        </w:rPr>
        <w:t xml:space="preserve">Life of </w:t>
      </w:r>
      <w:r w:rsidRPr="00032E2A">
        <w:rPr>
          <w:rFonts w:cs="Times New Roman"/>
          <w:i/>
        </w:rPr>
        <w:t>Pompey</w:t>
      </w:r>
      <w:r w:rsidRPr="00032E2A">
        <w:rPr>
          <w:rFonts w:cs="Times New Roman"/>
        </w:rPr>
        <w:t xml:space="preserve"> and Pompey was a more famous and less controversial figure than the Gracchi.</w:t>
      </w:r>
      <w:r w:rsidR="00D36060">
        <w:rPr>
          <w:rFonts w:cs="Times New Roman"/>
        </w:rPr>
        <w:t xml:space="preserve"> </w:t>
      </w:r>
      <w:r w:rsidR="0070105C">
        <w:rPr>
          <w:rFonts w:cs="Times New Roman"/>
        </w:rPr>
        <w:t xml:space="preserve">Thomas Lodge’s </w:t>
      </w:r>
      <w:r w:rsidR="0070105C">
        <w:rPr>
          <w:rFonts w:cs="Times New Roman"/>
          <w:i/>
        </w:rPr>
        <w:t>Wounds of the Civil War</w:t>
      </w:r>
      <w:r w:rsidR="0070105C">
        <w:rPr>
          <w:rFonts w:cs="Times New Roman"/>
        </w:rPr>
        <w:t xml:space="preserve"> </w:t>
      </w:r>
      <w:r w:rsidR="00E55FF9">
        <w:rPr>
          <w:rFonts w:cs="Times New Roman"/>
        </w:rPr>
        <w:t xml:space="preserve">(c.1590) </w:t>
      </w:r>
      <w:r w:rsidR="0070105C">
        <w:rPr>
          <w:rFonts w:cs="Times New Roman"/>
        </w:rPr>
        <w:t>features Cornelia</w:t>
      </w:r>
      <w:r w:rsidR="00BA6607">
        <w:rPr>
          <w:rFonts w:cs="Times New Roman"/>
        </w:rPr>
        <w:t>,</w:t>
      </w:r>
      <w:r w:rsidR="00013B2F">
        <w:rPr>
          <w:rFonts w:cs="Times New Roman"/>
        </w:rPr>
        <w:t xml:space="preserve"> wife of Sulla,</w:t>
      </w:r>
      <w:r w:rsidR="00BA6607">
        <w:rPr>
          <w:rFonts w:cs="Times New Roman"/>
        </w:rPr>
        <w:t xml:space="preserve"> but</w:t>
      </w:r>
      <w:r w:rsidR="00013B2F">
        <w:rPr>
          <w:rFonts w:cs="Times New Roman"/>
        </w:rPr>
        <w:t xml:space="preserve"> since</w:t>
      </w:r>
      <w:r w:rsidR="00FE037C">
        <w:rPr>
          <w:rFonts w:cs="Times New Roman"/>
        </w:rPr>
        <w:t xml:space="preserve"> </w:t>
      </w:r>
      <w:r w:rsidR="00616262">
        <w:rPr>
          <w:rFonts w:cs="Times New Roman"/>
        </w:rPr>
        <w:t>there is no historical evidence for Sulla marrying a Cornelia</w:t>
      </w:r>
      <w:r w:rsidR="00013B2F">
        <w:rPr>
          <w:rFonts w:cs="Times New Roman"/>
        </w:rPr>
        <w:t>,</w:t>
      </w:r>
      <w:r w:rsidR="00BA6607">
        <w:rPr>
          <w:rFonts w:cs="Times New Roman"/>
        </w:rPr>
        <w:t xml:space="preserve"> </w:t>
      </w:r>
      <w:r w:rsidR="00872ECC">
        <w:rPr>
          <w:rFonts w:cs="Times New Roman"/>
        </w:rPr>
        <w:t>Lodge</w:t>
      </w:r>
      <w:r w:rsidR="00D75238">
        <w:rPr>
          <w:rFonts w:cs="Times New Roman"/>
        </w:rPr>
        <w:t xml:space="preserve"> probably </w:t>
      </w:r>
      <w:r w:rsidR="00872ECC">
        <w:rPr>
          <w:rFonts w:cs="Times New Roman"/>
        </w:rPr>
        <w:t>invented her</w:t>
      </w:r>
      <w:r w:rsidR="00D75238">
        <w:rPr>
          <w:rFonts w:cs="Times New Roman"/>
        </w:rPr>
        <w:t xml:space="preserve"> from Sulla’s </w:t>
      </w:r>
      <w:r w:rsidR="00923092" w:rsidRPr="00923092">
        <w:rPr>
          <w:rFonts w:cs="Times New Roman"/>
          <w:i/>
        </w:rPr>
        <w:t>gens</w:t>
      </w:r>
      <w:r w:rsidR="003949CC">
        <w:rPr>
          <w:rFonts w:cs="Times New Roman"/>
          <w:i/>
        </w:rPr>
        <w:t xml:space="preserve"> </w:t>
      </w:r>
      <w:r w:rsidR="003949CC">
        <w:rPr>
          <w:rFonts w:cs="Times New Roman"/>
        </w:rPr>
        <w:t>name</w:t>
      </w:r>
      <w:r w:rsidR="000F1B8D">
        <w:rPr>
          <w:rFonts w:cs="Times New Roman"/>
        </w:rPr>
        <w:t xml:space="preserve">, and thus she cannot be </w:t>
      </w:r>
      <w:r w:rsidR="00F71AB0">
        <w:rPr>
          <w:rFonts w:cs="Times New Roman"/>
        </w:rPr>
        <w:t>Castiglione’s ‘Cornelia’.</w:t>
      </w:r>
    </w:p>
  </w:footnote>
  <w:footnote w:id="27">
    <w:p w14:paraId="26298C5C" w14:textId="1649358F" w:rsidR="00FB3F4F" w:rsidRPr="00032E2A" w:rsidRDefault="00FB3F4F">
      <w:pPr>
        <w:pStyle w:val="FootnoteText"/>
        <w:rPr>
          <w:rFonts w:cs="Times New Roman"/>
        </w:rPr>
      </w:pPr>
      <w:r w:rsidRPr="00710079">
        <w:rPr>
          <w:rStyle w:val="FootnoteReference"/>
          <w:rFonts w:cs="Times New Roman"/>
        </w:rPr>
        <w:footnoteRef/>
      </w:r>
      <w:r w:rsidRPr="00710079">
        <w:rPr>
          <w:rFonts w:cs="Times New Roman"/>
        </w:rPr>
        <w:t xml:space="preserve"> R</w:t>
      </w:r>
      <w:r w:rsidR="00C357D7">
        <w:rPr>
          <w:rFonts w:cs="Times New Roman"/>
        </w:rPr>
        <w:t>obert</w:t>
      </w:r>
      <w:r w:rsidRPr="00710079">
        <w:rPr>
          <w:rFonts w:cs="Times New Roman"/>
        </w:rPr>
        <w:t xml:space="preserve"> Garnier, </w:t>
      </w:r>
      <w:r>
        <w:rPr>
          <w:rFonts w:cs="Times New Roman"/>
        </w:rPr>
        <w:t>‘Cornelia’</w:t>
      </w:r>
      <w:r w:rsidRPr="00710079">
        <w:rPr>
          <w:rFonts w:cs="Times New Roman"/>
        </w:rPr>
        <w:t>, trans</w:t>
      </w:r>
      <w:r>
        <w:rPr>
          <w:rFonts w:cs="Times New Roman"/>
        </w:rPr>
        <w:t xml:space="preserve">. </w:t>
      </w:r>
      <w:r w:rsidRPr="00710079">
        <w:rPr>
          <w:rFonts w:cs="Times New Roman"/>
        </w:rPr>
        <w:t>T</w:t>
      </w:r>
      <w:r w:rsidR="00C357D7">
        <w:rPr>
          <w:rFonts w:cs="Times New Roman"/>
        </w:rPr>
        <w:t>homas</w:t>
      </w:r>
      <w:r w:rsidRPr="00710079">
        <w:rPr>
          <w:rFonts w:cs="Times New Roman"/>
        </w:rPr>
        <w:t xml:space="preserve"> Kyd in </w:t>
      </w:r>
      <w:r w:rsidRPr="00710079">
        <w:rPr>
          <w:i/>
        </w:rPr>
        <w:t>Robert Garnier in Elizabethan England</w:t>
      </w:r>
      <w:r w:rsidRPr="00710079">
        <w:t>, p.182</w:t>
      </w:r>
      <w:r w:rsidR="00CD5660">
        <w:t>.</w:t>
      </w:r>
    </w:p>
  </w:footnote>
  <w:footnote w:id="28">
    <w:p w14:paraId="22FA5AA0" w14:textId="0F0F67AD" w:rsidR="00FB3F4F" w:rsidRPr="00710079" w:rsidRDefault="00FB3F4F">
      <w:pPr>
        <w:pStyle w:val="FootnoteText"/>
        <w:rPr>
          <w:rFonts w:cs="Times New Roman"/>
        </w:rPr>
      </w:pPr>
      <w:r w:rsidRPr="00710079">
        <w:rPr>
          <w:rStyle w:val="FootnoteReference"/>
          <w:rFonts w:cs="Times New Roman"/>
        </w:rPr>
        <w:footnoteRef/>
      </w:r>
      <w:r w:rsidRPr="00710079">
        <w:rPr>
          <w:rFonts w:cs="Times New Roman"/>
        </w:rPr>
        <w:t xml:space="preserve"> Garnier, </w:t>
      </w:r>
      <w:r w:rsidRPr="00820B40">
        <w:rPr>
          <w:rFonts w:cs="Times New Roman"/>
        </w:rPr>
        <w:t>‘Cornelia’,</w:t>
      </w:r>
      <w:r>
        <w:rPr>
          <w:rFonts w:cs="Times New Roman"/>
          <w:i/>
        </w:rPr>
        <w:t xml:space="preserve"> </w:t>
      </w:r>
      <w:r w:rsidRPr="00710079">
        <w:rPr>
          <w:rFonts w:cs="Times New Roman"/>
        </w:rPr>
        <w:t>V.274-329</w:t>
      </w:r>
      <w:r w:rsidR="00CD5660">
        <w:rPr>
          <w:rFonts w:cs="Times New Roman"/>
        </w:rPr>
        <w:t>.</w:t>
      </w:r>
    </w:p>
  </w:footnote>
  <w:footnote w:id="29">
    <w:p w14:paraId="79735E40" w14:textId="5101AF04" w:rsidR="00FB3F4F" w:rsidRPr="00032E2A" w:rsidRDefault="00FB3F4F">
      <w:pPr>
        <w:pStyle w:val="FootnoteText"/>
        <w:rPr>
          <w:rFonts w:cs="Times New Roman"/>
        </w:rPr>
      </w:pPr>
      <w:r w:rsidRPr="00710079">
        <w:rPr>
          <w:rStyle w:val="FootnoteReference"/>
          <w:rFonts w:cs="Times New Roman"/>
        </w:rPr>
        <w:footnoteRef/>
      </w:r>
      <w:r w:rsidRPr="00710079">
        <w:rPr>
          <w:rFonts w:cs="Times New Roman"/>
        </w:rPr>
        <w:t xml:space="preserve"> Garnier, </w:t>
      </w:r>
      <w:r w:rsidRPr="00820B40">
        <w:rPr>
          <w:rFonts w:cs="Times New Roman"/>
        </w:rPr>
        <w:t>‘Cornelia’, II</w:t>
      </w:r>
      <w:r w:rsidRPr="00710079">
        <w:rPr>
          <w:rFonts w:cs="Times New Roman"/>
        </w:rPr>
        <w:t>.124-157</w:t>
      </w:r>
      <w:r w:rsidR="00CD5660">
        <w:rPr>
          <w:rFonts w:cs="Times New Roman"/>
        </w:rPr>
        <w:t>. S</w:t>
      </w:r>
      <w:r w:rsidRPr="00710079">
        <w:rPr>
          <w:rFonts w:cs="Times New Roman"/>
        </w:rPr>
        <w:t>ee also J</w:t>
      </w:r>
      <w:r w:rsidR="007F60FE">
        <w:rPr>
          <w:rFonts w:cs="Times New Roman"/>
        </w:rPr>
        <w:t>ustus</w:t>
      </w:r>
      <w:r w:rsidRPr="00710079">
        <w:rPr>
          <w:rFonts w:cs="Times New Roman"/>
        </w:rPr>
        <w:t xml:space="preserve"> Lipsius, </w:t>
      </w:r>
      <w:r w:rsidRPr="00710079">
        <w:rPr>
          <w:rFonts w:cs="Times New Roman"/>
          <w:i/>
        </w:rPr>
        <w:t>On Constancy</w:t>
      </w:r>
      <w:r w:rsidRPr="00710079">
        <w:rPr>
          <w:rFonts w:cs="Times New Roman"/>
        </w:rPr>
        <w:t xml:space="preserve"> trans</w:t>
      </w:r>
      <w:r>
        <w:rPr>
          <w:rFonts w:cs="Times New Roman"/>
        </w:rPr>
        <w:t xml:space="preserve">. </w:t>
      </w:r>
      <w:r w:rsidRPr="00710079">
        <w:rPr>
          <w:rFonts w:cs="Times New Roman"/>
        </w:rPr>
        <w:t>J. Stradling, ed. John Sellers (Exeter, 2006) and P</w:t>
      </w:r>
      <w:r w:rsidR="00C357D7">
        <w:rPr>
          <w:rFonts w:cs="Times New Roman"/>
        </w:rPr>
        <w:t>hilippe</w:t>
      </w:r>
      <w:r w:rsidRPr="00710079">
        <w:rPr>
          <w:rFonts w:cs="Times New Roman"/>
        </w:rPr>
        <w:t xml:space="preserve"> de </w:t>
      </w:r>
      <w:proofErr w:type="spellStart"/>
      <w:r w:rsidRPr="00710079">
        <w:rPr>
          <w:rFonts w:cs="Times New Roman"/>
        </w:rPr>
        <w:t>Mornay</w:t>
      </w:r>
      <w:proofErr w:type="spellEnd"/>
      <w:r w:rsidRPr="00710079">
        <w:rPr>
          <w:rFonts w:cs="Times New Roman"/>
        </w:rPr>
        <w:t>, ‘A Discourse of Life and Death’ trans</w:t>
      </w:r>
      <w:r>
        <w:rPr>
          <w:rFonts w:cs="Times New Roman"/>
        </w:rPr>
        <w:t xml:space="preserve">. </w:t>
      </w:r>
      <w:r w:rsidRPr="00710079">
        <w:rPr>
          <w:rFonts w:cs="Times New Roman"/>
        </w:rPr>
        <w:t xml:space="preserve">M. Sidney, in M. P. </w:t>
      </w:r>
      <w:proofErr w:type="spellStart"/>
      <w:r w:rsidRPr="00710079">
        <w:rPr>
          <w:rFonts w:cs="Times New Roman"/>
        </w:rPr>
        <w:t>Hannay</w:t>
      </w:r>
      <w:proofErr w:type="spellEnd"/>
      <w:r w:rsidRPr="00710079">
        <w:rPr>
          <w:rFonts w:cs="Times New Roman"/>
        </w:rPr>
        <w:t xml:space="preserve">, N.J. </w:t>
      </w:r>
      <w:proofErr w:type="spellStart"/>
      <w:r w:rsidRPr="00710079">
        <w:rPr>
          <w:rFonts w:cs="Times New Roman"/>
        </w:rPr>
        <w:t>Kinnamon</w:t>
      </w:r>
      <w:proofErr w:type="spellEnd"/>
      <w:r w:rsidRPr="00710079">
        <w:rPr>
          <w:rFonts w:cs="Times New Roman"/>
        </w:rPr>
        <w:t xml:space="preserve"> and M. G. Brennan (ed.), </w:t>
      </w:r>
      <w:r w:rsidRPr="00710079">
        <w:rPr>
          <w:rFonts w:cs="Times New Roman"/>
          <w:i/>
        </w:rPr>
        <w:t>The Collected Works of Mary Sidney Herbert, Countess of Pembroke: Volume I, Poems, Translations and Correspondence</w:t>
      </w:r>
      <w:r w:rsidRPr="00710079">
        <w:rPr>
          <w:rFonts w:cs="Times New Roman"/>
        </w:rPr>
        <w:t xml:space="preserve"> (Oxford, 1998), pp</w:t>
      </w:r>
      <w:r w:rsidR="003949CC">
        <w:rPr>
          <w:rFonts w:cs="Times New Roman"/>
        </w:rPr>
        <w:t xml:space="preserve">. </w:t>
      </w:r>
      <w:r w:rsidRPr="00710079">
        <w:rPr>
          <w:rFonts w:cs="Times New Roman"/>
        </w:rPr>
        <w:t>229-254</w:t>
      </w:r>
      <w:r w:rsidR="00CD5660">
        <w:rPr>
          <w:rFonts w:cs="Times New Roman"/>
        </w:rPr>
        <w:t>.</w:t>
      </w:r>
    </w:p>
  </w:footnote>
  <w:footnote w:id="30">
    <w:p w14:paraId="4760F693" w14:textId="0028F2EE" w:rsidR="00FB3F4F" w:rsidRPr="004A27A0" w:rsidRDefault="00FB3F4F">
      <w:pPr>
        <w:pStyle w:val="FootnoteText"/>
      </w:pPr>
      <w:r>
        <w:rPr>
          <w:rStyle w:val="FootnoteReference"/>
        </w:rPr>
        <w:footnoteRef/>
      </w:r>
      <w:r>
        <w:t xml:space="preserve"> Garnier, </w:t>
      </w:r>
      <w:r w:rsidRPr="00820B40">
        <w:rPr>
          <w:rFonts w:cs="Times New Roman"/>
        </w:rPr>
        <w:t xml:space="preserve">‘Cornelia’, </w:t>
      </w:r>
      <w:r>
        <w:t>V.456-7</w:t>
      </w:r>
      <w:r w:rsidR="00CD5660">
        <w:t>.</w:t>
      </w:r>
    </w:p>
  </w:footnote>
  <w:footnote w:id="31">
    <w:p w14:paraId="2D6F44D6" w14:textId="11E458A2" w:rsidR="00FB3F4F" w:rsidRPr="00440FCA" w:rsidRDefault="00FB3F4F">
      <w:pPr>
        <w:pStyle w:val="FootnoteText"/>
      </w:pPr>
      <w:r>
        <w:rPr>
          <w:rStyle w:val="FootnoteReference"/>
        </w:rPr>
        <w:footnoteRef/>
      </w:r>
      <w:r>
        <w:t xml:space="preserve"> M.A. Belle and L. </w:t>
      </w:r>
      <w:proofErr w:type="spellStart"/>
      <w:r>
        <w:t>Cottegnies</w:t>
      </w:r>
      <w:proofErr w:type="spellEnd"/>
      <w:r>
        <w:t xml:space="preserve">, ‘Introduction’ in </w:t>
      </w:r>
      <w:r>
        <w:rPr>
          <w:i/>
        </w:rPr>
        <w:t>Robert Garnier in Elizabethan England</w:t>
      </w:r>
      <w:r>
        <w:t>, p. 51</w:t>
      </w:r>
      <w:r w:rsidR="00CD5660">
        <w:t>.</w:t>
      </w:r>
    </w:p>
  </w:footnote>
  <w:footnote w:id="32">
    <w:p w14:paraId="41034BD7" w14:textId="3C1E21F2" w:rsidR="00FB3F4F" w:rsidRDefault="00FB3F4F">
      <w:pPr>
        <w:pStyle w:val="FootnoteText"/>
      </w:pPr>
      <w:r>
        <w:rPr>
          <w:rStyle w:val="FootnoteReference"/>
        </w:rPr>
        <w:footnoteRef/>
      </w:r>
      <w:r>
        <w:t xml:space="preserve"> </w:t>
      </w:r>
      <w:r w:rsidRPr="00F22E0F">
        <w:t xml:space="preserve">M. Wiggins, </w:t>
      </w:r>
      <w:r w:rsidRPr="00F22E0F">
        <w:rPr>
          <w:i/>
        </w:rPr>
        <w:t>British Drama, 1533-1642: A Catalogue. Volume V, 1603-1608</w:t>
      </w:r>
      <w:r w:rsidRPr="00F22E0F">
        <w:t xml:space="preserve"> (Oxford, 2015), p. 183</w:t>
      </w:r>
      <w:r w:rsidR="00CD5660">
        <w:t>.</w:t>
      </w:r>
    </w:p>
  </w:footnote>
  <w:footnote w:id="33">
    <w:p w14:paraId="2B129259" w14:textId="6B091103" w:rsidR="00FB3F4F" w:rsidRPr="00371F4F" w:rsidRDefault="00FB3F4F">
      <w:pPr>
        <w:pStyle w:val="FootnoteText"/>
      </w:pPr>
      <w:r w:rsidRPr="00371F4F">
        <w:rPr>
          <w:rStyle w:val="FootnoteReference"/>
        </w:rPr>
        <w:footnoteRef/>
      </w:r>
      <w:r w:rsidRPr="00371F4F">
        <w:t xml:space="preserve"> </w:t>
      </w:r>
      <w:r w:rsidRPr="00371F4F">
        <w:rPr>
          <w:i/>
        </w:rPr>
        <w:t xml:space="preserve">The </w:t>
      </w:r>
      <w:proofErr w:type="spellStart"/>
      <w:r w:rsidRPr="00371F4F">
        <w:rPr>
          <w:i/>
        </w:rPr>
        <w:t>Tragedie</w:t>
      </w:r>
      <w:proofErr w:type="spellEnd"/>
      <w:r w:rsidRPr="00371F4F">
        <w:rPr>
          <w:i/>
        </w:rPr>
        <w:t xml:space="preserve"> of Caesar and Pompey or Caesar’s Revenge</w:t>
      </w:r>
      <w:r w:rsidRPr="00371F4F">
        <w:t xml:space="preserve"> (London, 1607), sig. B3r</w:t>
      </w:r>
      <w:r w:rsidR="00CD5660">
        <w:t>.</w:t>
      </w:r>
    </w:p>
  </w:footnote>
  <w:footnote w:id="34">
    <w:p w14:paraId="1315E400" w14:textId="50F3C7F1" w:rsidR="00FB3F4F" w:rsidRPr="0064117F" w:rsidRDefault="00FB3F4F">
      <w:pPr>
        <w:pStyle w:val="FootnoteText"/>
      </w:pPr>
      <w:r>
        <w:rPr>
          <w:rStyle w:val="FootnoteReference"/>
        </w:rPr>
        <w:footnoteRef/>
      </w:r>
      <w:r>
        <w:t xml:space="preserve"> </w:t>
      </w:r>
      <w:r w:rsidRPr="00371F4F">
        <w:rPr>
          <w:i/>
        </w:rPr>
        <w:t>Caesar’s Revenge</w:t>
      </w:r>
      <w:r>
        <w:t>, sig. C4v</w:t>
      </w:r>
      <w:r w:rsidR="00CD5660">
        <w:t>.</w:t>
      </w:r>
    </w:p>
  </w:footnote>
  <w:footnote w:id="35">
    <w:p w14:paraId="59F3AAF2" w14:textId="11B145DC" w:rsidR="00FB3F4F" w:rsidRPr="00371F4F" w:rsidRDefault="00FB3F4F">
      <w:pPr>
        <w:pStyle w:val="FootnoteText"/>
        <w:rPr>
          <w:rFonts w:cs="Times New Roman"/>
        </w:rPr>
      </w:pPr>
      <w:r w:rsidRPr="00371F4F">
        <w:rPr>
          <w:rStyle w:val="FootnoteReference"/>
          <w:rFonts w:cs="Times New Roman"/>
        </w:rPr>
        <w:footnoteRef/>
      </w:r>
      <w:r w:rsidRPr="00371F4F">
        <w:rPr>
          <w:rFonts w:cs="Times New Roman"/>
        </w:rPr>
        <w:t xml:space="preserve"> S</w:t>
      </w:r>
      <w:r w:rsidR="00521EE5">
        <w:rPr>
          <w:rFonts w:cs="Times New Roman"/>
        </w:rPr>
        <w:t>amuel</w:t>
      </w:r>
      <w:r w:rsidRPr="00371F4F">
        <w:rPr>
          <w:rFonts w:cs="Times New Roman"/>
        </w:rPr>
        <w:t xml:space="preserve"> Brandon, </w:t>
      </w:r>
      <w:r w:rsidRPr="00371F4F">
        <w:rPr>
          <w:rFonts w:cs="Times New Roman"/>
          <w:i/>
        </w:rPr>
        <w:t>The Virtuous Octavia</w:t>
      </w:r>
      <w:r w:rsidRPr="00371F4F">
        <w:rPr>
          <w:rFonts w:cs="Times New Roman"/>
        </w:rPr>
        <w:t xml:space="preserve">, ed. R. </w:t>
      </w:r>
      <w:proofErr w:type="spellStart"/>
      <w:r w:rsidRPr="00371F4F">
        <w:rPr>
          <w:rFonts w:cs="Times New Roman"/>
        </w:rPr>
        <w:t>McKerrow</w:t>
      </w:r>
      <w:proofErr w:type="spellEnd"/>
      <w:r w:rsidRPr="00371F4F">
        <w:rPr>
          <w:rFonts w:cs="Times New Roman"/>
        </w:rPr>
        <w:t xml:space="preserve"> (Oxfor</w:t>
      </w:r>
      <w:r w:rsidR="00D9403A">
        <w:rPr>
          <w:rFonts w:cs="Times New Roman"/>
        </w:rPr>
        <w:t>d</w:t>
      </w:r>
      <w:r w:rsidRPr="00371F4F">
        <w:rPr>
          <w:rFonts w:cs="Times New Roman"/>
        </w:rPr>
        <w:t>, 1909), III.i.1294-5</w:t>
      </w:r>
      <w:r w:rsidR="00CD5660">
        <w:rPr>
          <w:rFonts w:cs="Times New Roman"/>
        </w:rPr>
        <w:t>.</w:t>
      </w:r>
    </w:p>
  </w:footnote>
  <w:footnote w:id="36">
    <w:p w14:paraId="73F1DCC1" w14:textId="53B6D6F9" w:rsidR="00FB3F4F" w:rsidRPr="00371F4F" w:rsidRDefault="00FB3F4F">
      <w:pPr>
        <w:pStyle w:val="FootnoteText"/>
        <w:rPr>
          <w:rFonts w:cs="Times New Roman"/>
        </w:rPr>
      </w:pPr>
      <w:r w:rsidRPr="00371F4F">
        <w:rPr>
          <w:rStyle w:val="FootnoteReference"/>
          <w:rFonts w:cs="Times New Roman"/>
        </w:rPr>
        <w:footnoteRef/>
      </w:r>
      <w:r w:rsidRPr="00371F4F">
        <w:rPr>
          <w:rFonts w:cs="Times New Roman"/>
        </w:rPr>
        <w:t xml:space="preserve"> Brandon, </w:t>
      </w:r>
      <w:r w:rsidRPr="00371F4F">
        <w:rPr>
          <w:rFonts w:cs="Times New Roman"/>
          <w:i/>
        </w:rPr>
        <w:t>The Virtuous Octavia</w:t>
      </w:r>
      <w:r w:rsidRPr="00371F4F">
        <w:rPr>
          <w:rFonts w:cs="Times New Roman"/>
        </w:rPr>
        <w:t>, V.i.2250</w:t>
      </w:r>
      <w:r w:rsidR="00CD5660">
        <w:rPr>
          <w:rFonts w:cs="Times New Roman"/>
        </w:rPr>
        <w:t>.</w:t>
      </w:r>
    </w:p>
  </w:footnote>
  <w:footnote w:id="37">
    <w:p w14:paraId="20AEC5F6" w14:textId="1DFB7B53" w:rsidR="00FB3F4F" w:rsidRPr="00032E2A" w:rsidRDefault="00FB3F4F">
      <w:pPr>
        <w:pStyle w:val="FootnoteText"/>
        <w:rPr>
          <w:rFonts w:cs="Times New Roman"/>
        </w:rPr>
      </w:pPr>
      <w:r w:rsidRPr="00371F4F">
        <w:rPr>
          <w:rStyle w:val="FootnoteReference"/>
          <w:rFonts w:cs="Times New Roman"/>
        </w:rPr>
        <w:footnoteRef/>
      </w:r>
      <w:r w:rsidRPr="00371F4F">
        <w:rPr>
          <w:rFonts w:cs="Times New Roman"/>
        </w:rPr>
        <w:t xml:space="preserve"> Brandon, </w:t>
      </w:r>
      <w:r w:rsidRPr="00371F4F">
        <w:rPr>
          <w:rFonts w:cs="Times New Roman"/>
          <w:i/>
        </w:rPr>
        <w:t>The Virtuous Octavia</w:t>
      </w:r>
      <w:r w:rsidRPr="00371F4F">
        <w:rPr>
          <w:rFonts w:cs="Times New Roman"/>
        </w:rPr>
        <w:t>, sig. A4v</w:t>
      </w:r>
      <w:r w:rsidR="00CD5660">
        <w:rPr>
          <w:rFonts w:cs="Times New Roman"/>
        </w:rPr>
        <w:t>.</w:t>
      </w:r>
    </w:p>
  </w:footnote>
  <w:footnote w:id="38">
    <w:p w14:paraId="6BED2CEE" w14:textId="0E3EE59D" w:rsidR="00FB3F4F" w:rsidRPr="00C8076F" w:rsidRDefault="00FB3F4F">
      <w:pPr>
        <w:pStyle w:val="FootnoteText"/>
        <w:rPr>
          <w:rFonts w:cs="Times New Roman"/>
        </w:rPr>
      </w:pPr>
      <w:r w:rsidRPr="00C8076F">
        <w:rPr>
          <w:rStyle w:val="FootnoteReference"/>
          <w:rFonts w:cs="Times New Roman"/>
        </w:rPr>
        <w:footnoteRef/>
      </w:r>
      <w:r w:rsidRPr="00C8076F">
        <w:rPr>
          <w:rFonts w:cs="Times New Roman"/>
        </w:rPr>
        <w:t xml:space="preserve"> Brandon, </w:t>
      </w:r>
      <w:r w:rsidRPr="00C8076F">
        <w:rPr>
          <w:rFonts w:cs="Times New Roman"/>
          <w:i/>
        </w:rPr>
        <w:t>The Virtuous Octavia</w:t>
      </w:r>
      <w:r w:rsidRPr="00C8076F">
        <w:rPr>
          <w:rFonts w:cs="Times New Roman"/>
        </w:rPr>
        <w:t>, II.ii.740-932</w:t>
      </w:r>
      <w:r w:rsidR="00CD5660">
        <w:rPr>
          <w:rFonts w:cs="Times New Roman"/>
        </w:rPr>
        <w:t>.</w:t>
      </w:r>
    </w:p>
  </w:footnote>
  <w:footnote w:id="39">
    <w:p w14:paraId="04E19A01" w14:textId="1EA07F43" w:rsidR="00FB3F4F" w:rsidRPr="00C8076F" w:rsidRDefault="00FB3F4F">
      <w:pPr>
        <w:pStyle w:val="FootnoteText"/>
        <w:rPr>
          <w:rFonts w:cs="Times New Roman"/>
        </w:rPr>
      </w:pPr>
      <w:r w:rsidRPr="00C8076F">
        <w:rPr>
          <w:rStyle w:val="FootnoteReference"/>
          <w:rFonts w:cs="Times New Roman"/>
        </w:rPr>
        <w:footnoteRef/>
      </w:r>
      <w:r w:rsidRPr="00C8076F">
        <w:rPr>
          <w:rFonts w:cs="Times New Roman"/>
        </w:rPr>
        <w:t xml:space="preserve"> Brandon, </w:t>
      </w:r>
      <w:r w:rsidRPr="00C8076F">
        <w:rPr>
          <w:rFonts w:cs="Times New Roman"/>
          <w:i/>
        </w:rPr>
        <w:t>The Virtuous Octavia</w:t>
      </w:r>
      <w:r w:rsidRPr="00C8076F">
        <w:rPr>
          <w:rFonts w:cs="Times New Roman"/>
        </w:rPr>
        <w:t>, III.ii.1341-1343</w:t>
      </w:r>
      <w:r w:rsidR="00CD5660">
        <w:rPr>
          <w:rFonts w:cs="Times New Roman"/>
        </w:rPr>
        <w:t>.</w:t>
      </w:r>
    </w:p>
  </w:footnote>
  <w:footnote w:id="40">
    <w:p w14:paraId="5DDDCF6F" w14:textId="356C8113" w:rsidR="00FB3F4F" w:rsidRPr="00C8076F" w:rsidRDefault="00FB3F4F">
      <w:pPr>
        <w:pStyle w:val="FootnoteText"/>
      </w:pPr>
      <w:r w:rsidRPr="00C8076F">
        <w:rPr>
          <w:rStyle w:val="FootnoteReference"/>
        </w:rPr>
        <w:footnoteRef/>
      </w:r>
      <w:r w:rsidRPr="00C8076F">
        <w:t xml:space="preserve"> </w:t>
      </w:r>
      <w:r w:rsidRPr="00C8076F">
        <w:rPr>
          <w:rFonts w:cs="Times New Roman"/>
        </w:rPr>
        <w:t xml:space="preserve">Brandon, </w:t>
      </w:r>
      <w:r w:rsidRPr="00C8076F">
        <w:rPr>
          <w:rFonts w:cs="Times New Roman"/>
          <w:i/>
        </w:rPr>
        <w:t>The Virtuous Octavia</w:t>
      </w:r>
      <w:r w:rsidRPr="00C8076F">
        <w:rPr>
          <w:rFonts w:cs="Times New Roman"/>
        </w:rPr>
        <w:t>, II.ii.933-960</w:t>
      </w:r>
      <w:r w:rsidR="00CD5660">
        <w:rPr>
          <w:rFonts w:cs="Times New Roman"/>
        </w:rPr>
        <w:t>.</w:t>
      </w:r>
    </w:p>
  </w:footnote>
  <w:footnote w:id="41">
    <w:p w14:paraId="216BC292" w14:textId="017660CE" w:rsidR="00FB3F4F" w:rsidRPr="00C8076F" w:rsidRDefault="00FB3F4F">
      <w:pPr>
        <w:pStyle w:val="FootnoteText"/>
        <w:rPr>
          <w:i/>
        </w:rPr>
      </w:pPr>
      <w:r w:rsidRPr="00C8076F">
        <w:rPr>
          <w:rStyle w:val="FootnoteReference"/>
        </w:rPr>
        <w:footnoteRef/>
      </w:r>
      <w:r w:rsidRPr="00C8076F">
        <w:t xml:space="preserve"> </w:t>
      </w:r>
      <w:r w:rsidRPr="00C8076F">
        <w:rPr>
          <w:rFonts w:cs="Times New Roman"/>
        </w:rPr>
        <w:t xml:space="preserve">Brandon, </w:t>
      </w:r>
      <w:r w:rsidRPr="00C8076F">
        <w:rPr>
          <w:rFonts w:cs="Times New Roman"/>
          <w:i/>
        </w:rPr>
        <w:t>The Virtuous Octavia</w:t>
      </w:r>
      <w:r w:rsidRPr="00C8076F">
        <w:rPr>
          <w:rFonts w:cs="Times New Roman"/>
        </w:rPr>
        <w:t>, V.iii.2183-2243</w:t>
      </w:r>
      <w:r w:rsidR="00CD5660">
        <w:rPr>
          <w:rFonts w:cs="Times New Roman"/>
        </w:rPr>
        <w:t>.</w:t>
      </w:r>
    </w:p>
  </w:footnote>
  <w:footnote w:id="42">
    <w:p w14:paraId="3E142E6F" w14:textId="04D88516" w:rsidR="00FB3F4F" w:rsidRDefault="00FB3F4F">
      <w:pPr>
        <w:pStyle w:val="FootnoteText"/>
      </w:pPr>
      <w:r w:rsidRPr="00C8076F">
        <w:rPr>
          <w:rStyle w:val="FootnoteReference"/>
        </w:rPr>
        <w:footnoteRef/>
      </w:r>
      <w:r w:rsidRPr="00C8076F">
        <w:t xml:space="preserve"> </w:t>
      </w:r>
      <w:r w:rsidRPr="00C8076F">
        <w:rPr>
          <w:rFonts w:cs="Times New Roman"/>
        </w:rPr>
        <w:t xml:space="preserve">Brandon, </w:t>
      </w:r>
      <w:r w:rsidRPr="00C8076F">
        <w:rPr>
          <w:rFonts w:cs="Times New Roman"/>
          <w:i/>
        </w:rPr>
        <w:t>The Virtuous Octavia</w:t>
      </w:r>
      <w:r w:rsidRPr="00C8076F">
        <w:rPr>
          <w:rFonts w:cs="Times New Roman"/>
        </w:rPr>
        <w:t>, V.2314-8</w:t>
      </w:r>
      <w:r w:rsidR="00CD5660">
        <w:rPr>
          <w:rFonts w:cs="Times New Roman"/>
        </w:rPr>
        <w:t>.</w:t>
      </w:r>
    </w:p>
  </w:footnote>
  <w:footnote w:id="43">
    <w:p w14:paraId="27463889" w14:textId="1897B01F" w:rsidR="00FB3F4F" w:rsidRPr="00C8076F" w:rsidRDefault="00FB3F4F">
      <w:pPr>
        <w:pStyle w:val="FootnoteText"/>
      </w:pPr>
      <w:r w:rsidRPr="00C8076F">
        <w:rPr>
          <w:rStyle w:val="FootnoteReference"/>
        </w:rPr>
        <w:footnoteRef/>
      </w:r>
      <w:r w:rsidRPr="00C8076F">
        <w:t xml:space="preserve"> W</w:t>
      </w:r>
      <w:r w:rsidR="00521EE5">
        <w:t>illiam</w:t>
      </w:r>
      <w:r w:rsidRPr="00C8076F">
        <w:t xml:space="preserve"> Shakespeare, </w:t>
      </w:r>
      <w:r w:rsidRPr="00C8076F">
        <w:rPr>
          <w:i/>
        </w:rPr>
        <w:t>Julius Caesar</w:t>
      </w:r>
      <w:r w:rsidRPr="00C8076F">
        <w:t xml:space="preserve">, ed. Marvin </w:t>
      </w:r>
      <w:proofErr w:type="spellStart"/>
      <w:r w:rsidRPr="00C8076F">
        <w:t>Spevack</w:t>
      </w:r>
      <w:proofErr w:type="spellEnd"/>
      <w:r w:rsidRPr="00C8076F">
        <w:t xml:space="preserve"> (Cambridge, 2004), II.i.291-301</w:t>
      </w:r>
      <w:r w:rsidR="00CD5660">
        <w:t>.</w:t>
      </w:r>
    </w:p>
  </w:footnote>
  <w:footnote w:id="44">
    <w:p w14:paraId="4BF39BF0" w14:textId="3ABCBCDD" w:rsidR="00FB3F4F" w:rsidRPr="00C8076F" w:rsidRDefault="00FB3F4F">
      <w:pPr>
        <w:pStyle w:val="FootnoteText"/>
      </w:pPr>
      <w:r w:rsidRPr="00C8076F">
        <w:rPr>
          <w:rStyle w:val="FootnoteReference"/>
        </w:rPr>
        <w:footnoteRef/>
      </w:r>
      <w:r w:rsidRPr="00C8076F">
        <w:t xml:space="preserve"> Shakespeare, </w:t>
      </w:r>
      <w:r w:rsidRPr="00C8076F">
        <w:rPr>
          <w:i/>
        </w:rPr>
        <w:t>Julius Caesar</w:t>
      </w:r>
      <w:r w:rsidRPr="00C8076F">
        <w:t>, IV.iii.153-6</w:t>
      </w:r>
      <w:r w:rsidR="00CD5660">
        <w:t>.</w:t>
      </w:r>
    </w:p>
  </w:footnote>
  <w:footnote w:id="45">
    <w:p w14:paraId="5BB21A8E" w14:textId="196109AC" w:rsidR="00FB3F4F" w:rsidRDefault="00FB3F4F">
      <w:pPr>
        <w:pStyle w:val="FootnoteText"/>
      </w:pPr>
      <w:r w:rsidRPr="00C8076F">
        <w:rPr>
          <w:rStyle w:val="FootnoteReference"/>
        </w:rPr>
        <w:footnoteRef/>
      </w:r>
      <w:r w:rsidRPr="00C8076F">
        <w:t xml:space="preserve"> Shakespeare, </w:t>
      </w:r>
      <w:r w:rsidRPr="00C8076F">
        <w:rPr>
          <w:i/>
        </w:rPr>
        <w:t>Julius Caesar</w:t>
      </w:r>
      <w:r w:rsidRPr="00C8076F">
        <w:t xml:space="preserve">, </w:t>
      </w:r>
      <w:proofErr w:type="spellStart"/>
      <w:proofErr w:type="gramStart"/>
      <w:r w:rsidRPr="00C8076F">
        <w:t>II.ii</w:t>
      </w:r>
      <w:proofErr w:type="spellEnd"/>
      <w:r w:rsidR="00CD5660">
        <w:t>.</w:t>
      </w:r>
      <w:proofErr w:type="gramEnd"/>
    </w:p>
  </w:footnote>
  <w:footnote w:id="46">
    <w:p w14:paraId="0DF80A79" w14:textId="79750580" w:rsidR="00FB3F4F" w:rsidRPr="00906555" w:rsidRDefault="00FB3F4F">
      <w:pPr>
        <w:pStyle w:val="FootnoteText"/>
      </w:pPr>
      <w:r>
        <w:rPr>
          <w:rStyle w:val="FootnoteReference"/>
        </w:rPr>
        <w:footnoteRef/>
      </w:r>
      <w:r>
        <w:t xml:space="preserve"> </w:t>
      </w:r>
      <w:r w:rsidRPr="00C0048E">
        <w:rPr>
          <w:i/>
        </w:rPr>
        <w:t>Caesar’s Revenge</w:t>
      </w:r>
      <w:r>
        <w:t>, sig. F4r</w:t>
      </w:r>
      <w:r w:rsidR="00CD5660">
        <w:t>.</w:t>
      </w:r>
    </w:p>
  </w:footnote>
  <w:footnote w:id="47">
    <w:p w14:paraId="0DBB34EE" w14:textId="03734D9C" w:rsidR="00FB3F4F" w:rsidRDefault="00FB3F4F">
      <w:pPr>
        <w:pStyle w:val="FootnoteText"/>
      </w:pPr>
      <w:r>
        <w:rPr>
          <w:rStyle w:val="FootnoteReference"/>
        </w:rPr>
        <w:footnoteRef/>
      </w:r>
      <w:r>
        <w:t xml:space="preserve"> </w:t>
      </w:r>
      <w:r w:rsidRPr="00C0048E">
        <w:rPr>
          <w:i/>
        </w:rPr>
        <w:t>Caesar’s Revenge</w:t>
      </w:r>
      <w:r>
        <w:t>, sig. G2v</w:t>
      </w:r>
      <w:r w:rsidR="00CD5660">
        <w:t>.</w:t>
      </w:r>
    </w:p>
  </w:footnote>
  <w:footnote w:id="48">
    <w:p w14:paraId="77648B2F" w14:textId="23B18CEA" w:rsidR="00FB3F4F" w:rsidRDefault="00FB3F4F">
      <w:pPr>
        <w:pStyle w:val="FootnoteText"/>
      </w:pPr>
      <w:r>
        <w:rPr>
          <w:rStyle w:val="FootnoteReference"/>
        </w:rPr>
        <w:footnoteRef/>
      </w:r>
      <w:r>
        <w:t xml:space="preserve"> </w:t>
      </w:r>
      <w:r w:rsidRPr="00C8076F">
        <w:t xml:space="preserve">Shakespeare, </w:t>
      </w:r>
      <w:r w:rsidRPr="00C8076F">
        <w:rPr>
          <w:i/>
        </w:rPr>
        <w:t>Julius Caesar</w:t>
      </w:r>
      <w:r w:rsidRPr="00C8076F">
        <w:t>,</w:t>
      </w:r>
      <w:r>
        <w:t xml:space="preserve"> II.iv.39-40</w:t>
      </w:r>
      <w:r w:rsidR="00CD5660">
        <w:t>,</w:t>
      </w:r>
      <w:r>
        <w:t xml:space="preserve"> 42</w:t>
      </w:r>
      <w:r w:rsidR="00CD5660">
        <w:t>.</w:t>
      </w:r>
    </w:p>
  </w:footnote>
  <w:footnote w:id="49">
    <w:p w14:paraId="673C77B1" w14:textId="55F17659" w:rsidR="00FB3F4F" w:rsidRPr="00634F95" w:rsidRDefault="00FB3F4F">
      <w:pPr>
        <w:pStyle w:val="FootnoteText"/>
      </w:pPr>
      <w:r w:rsidRPr="00BB3152">
        <w:rPr>
          <w:rStyle w:val="FootnoteReference"/>
        </w:rPr>
        <w:footnoteRef/>
      </w:r>
      <w:r w:rsidRPr="00BB3152">
        <w:t xml:space="preserve"> </w:t>
      </w:r>
      <w:r w:rsidR="0007477B">
        <w:t>Plutarch, ‘Brutus’</w:t>
      </w:r>
      <w:r w:rsidR="00121E98">
        <w:t>,</w:t>
      </w:r>
      <w:r w:rsidR="0007477B">
        <w:t xml:space="preserve"> trans. Thomas North </w:t>
      </w:r>
      <w:r w:rsidR="00BE1FF9">
        <w:t>in</w:t>
      </w:r>
      <w:r w:rsidR="0007477B">
        <w:t xml:space="preserve"> </w:t>
      </w:r>
      <w:proofErr w:type="gramStart"/>
      <w:r w:rsidR="0007477B" w:rsidRPr="00303CBB">
        <w:rPr>
          <w:i/>
        </w:rPr>
        <w:t>The</w:t>
      </w:r>
      <w:proofErr w:type="gramEnd"/>
      <w:r w:rsidR="0007477B" w:rsidRPr="00303CBB">
        <w:rPr>
          <w:i/>
        </w:rPr>
        <w:t xml:space="preserve"> lives of the noble Grecians and </w:t>
      </w:r>
      <w:proofErr w:type="spellStart"/>
      <w:r w:rsidR="0007477B" w:rsidRPr="00303CBB">
        <w:rPr>
          <w:i/>
        </w:rPr>
        <w:t>Romanes</w:t>
      </w:r>
      <w:proofErr w:type="spellEnd"/>
      <w:r w:rsidR="0007477B">
        <w:t xml:space="preserve">, (London, 1579), p. </w:t>
      </w:r>
      <w:r w:rsidR="00E14372">
        <w:t>1080</w:t>
      </w:r>
    </w:p>
  </w:footnote>
  <w:footnote w:id="50">
    <w:p w14:paraId="15C8B79E" w14:textId="2E4365D3" w:rsidR="00FB3F4F" w:rsidRDefault="00FB3F4F">
      <w:pPr>
        <w:pStyle w:val="FootnoteText"/>
      </w:pPr>
      <w:r w:rsidRPr="00A93BC2">
        <w:rPr>
          <w:rStyle w:val="FootnoteReference"/>
        </w:rPr>
        <w:footnoteRef/>
      </w:r>
      <w:r w:rsidRPr="00A93BC2">
        <w:t xml:space="preserve"> </w:t>
      </w:r>
      <w:r w:rsidRPr="00A93BC2">
        <w:rPr>
          <w:rFonts w:cs="Times New Roman"/>
        </w:rPr>
        <w:t>Garnier</w:t>
      </w:r>
      <w:r>
        <w:rPr>
          <w:rFonts w:cs="Times New Roman"/>
        </w:rPr>
        <w:t xml:space="preserve">, </w:t>
      </w:r>
      <w:r w:rsidRPr="00820B40">
        <w:rPr>
          <w:rFonts w:cs="Times New Roman"/>
        </w:rPr>
        <w:t xml:space="preserve">‘Cornelia’, </w:t>
      </w:r>
      <w:r w:rsidRPr="00A93BC2">
        <w:rPr>
          <w:rFonts w:cs="Times New Roman"/>
        </w:rPr>
        <w:t>II.124-337</w:t>
      </w:r>
      <w:r w:rsidR="00CD5660">
        <w:rPr>
          <w:rFonts w:cs="Times New Roman"/>
        </w:rPr>
        <w:t>.</w:t>
      </w:r>
    </w:p>
  </w:footnote>
  <w:footnote w:id="51">
    <w:p w14:paraId="5038D49B" w14:textId="732ADDD0" w:rsidR="00FB3F4F" w:rsidRPr="00B563A6" w:rsidRDefault="00FB3F4F">
      <w:pPr>
        <w:pStyle w:val="FootnoteText"/>
      </w:pPr>
      <w:r w:rsidRPr="00C21C5A">
        <w:rPr>
          <w:rStyle w:val="FootnoteReference"/>
        </w:rPr>
        <w:footnoteRef/>
      </w:r>
      <w:r w:rsidRPr="00C21C5A">
        <w:t xml:space="preserve"> </w:t>
      </w:r>
      <w:r w:rsidRPr="00C21C5A">
        <w:rPr>
          <w:rFonts w:cs="Times New Roman"/>
        </w:rPr>
        <w:t xml:space="preserve">Lipsius, </w:t>
      </w:r>
      <w:r w:rsidRPr="00C21C5A">
        <w:rPr>
          <w:rFonts w:cs="Times New Roman"/>
          <w:i/>
        </w:rPr>
        <w:t>On Constancy</w:t>
      </w:r>
      <w:r w:rsidRPr="00C21C5A">
        <w:rPr>
          <w:rFonts w:cs="Times New Roman"/>
        </w:rPr>
        <w:t xml:space="preserve">, </w:t>
      </w:r>
      <w:r w:rsidR="00297772">
        <w:rPr>
          <w:rFonts w:cs="Times New Roman"/>
        </w:rPr>
        <w:t>pp. 37-8.</w:t>
      </w:r>
    </w:p>
  </w:footnote>
  <w:footnote w:id="52">
    <w:p w14:paraId="5EC150E7" w14:textId="507F15FC" w:rsidR="00423062" w:rsidRDefault="00423062">
      <w:pPr>
        <w:pStyle w:val="FootnoteText"/>
      </w:pPr>
      <w:r>
        <w:rPr>
          <w:rStyle w:val="FootnoteReference"/>
        </w:rPr>
        <w:footnoteRef/>
      </w:r>
      <w:r>
        <w:t xml:space="preserve"> Shakespeare, </w:t>
      </w:r>
      <w:r w:rsidRPr="00C8076F">
        <w:rPr>
          <w:i/>
        </w:rPr>
        <w:t>Julius Caesar</w:t>
      </w:r>
      <w:r w:rsidRPr="00C8076F">
        <w:t>,</w:t>
      </w:r>
      <w:r>
        <w:t xml:space="preserve"> IV.iii.190-2.</w:t>
      </w:r>
    </w:p>
  </w:footnote>
  <w:footnote w:id="53">
    <w:p w14:paraId="20F29ECD" w14:textId="77777777" w:rsidR="007D77EA" w:rsidRDefault="007D77EA" w:rsidP="007D77EA">
      <w:pPr>
        <w:pStyle w:val="FootnoteText"/>
      </w:pPr>
      <w:r>
        <w:rPr>
          <w:rStyle w:val="FootnoteReference"/>
        </w:rPr>
        <w:footnoteRef/>
      </w:r>
      <w:r>
        <w:t xml:space="preserve"> </w:t>
      </w:r>
      <w:r w:rsidRPr="00C21C5A">
        <w:rPr>
          <w:rFonts w:cs="Times New Roman"/>
        </w:rPr>
        <w:t xml:space="preserve">Lipsius, </w:t>
      </w:r>
      <w:r w:rsidRPr="00C21C5A">
        <w:rPr>
          <w:rFonts w:cs="Times New Roman"/>
          <w:i/>
        </w:rPr>
        <w:t>On Constancy</w:t>
      </w:r>
      <w:r w:rsidRPr="00C21C5A">
        <w:rPr>
          <w:rFonts w:cs="Times New Roman"/>
        </w:rPr>
        <w:t>,</w:t>
      </w:r>
      <w:r>
        <w:rPr>
          <w:rFonts w:cs="Times New Roman"/>
        </w:rPr>
        <w:t xml:space="preserve"> p. 90.</w:t>
      </w:r>
    </w:p>
  </w:footnote>
  <w:footnote w:id="54">
    <w:p w14:paraId="319C07E2" w14:textId="185D98B7" w:rsidR="00FB3F4F" w:rsidRPr="00F22E0F" w:rsidRDefault="00FB3F4F">
      <w:pPr>
        <w:pStyle w:val="FootnoteText"/>
      </w:pPr>
      <w:r w:rsidRPr="004601DF">
        <w:rPr>
          <w:rStyle w:val="FootnoteReference"/>
        </w:rPr>
        <w:footnoteRef/>
      </w:r>
      <w:r w:rsidRPr="004601DF">
        <w:t xml:space="preserve"> </w:t>
      </w:r>
      <w:r w:rsidRPr="00F22E0F">
        <w:t xml:space="preserve">M. Wiggins, </w:t>
      </w:r>
      <w:r w:rsidRPr="00F22E0F">
        <w:rPr>
          <w:i/>
        </w:rPr>
        <w:t xml:space="preserve">British Drama, 1533-1642: A Catalogue. Volume </w:t>
      </w:r>
      <w:r>
        <w:rPr>
          <w:i/>
        </w:rPr>
        <w:t>I</w:t>
      </w:r>
      <w:r w:rsidRPr="00F22E0F">
        <w:rPr>
          <w:i/>
        </w:rPr>
        <w:t xml:space="preserve">V, </w:t>
      </w:r>
      <w:r>
        <w:rPr>
          <w:i/>
        </w:rPr>
        <w:t>1598</w:t>
      </w:r>
      <w:r w:rsidRPr="00F22E0F">
        <w:rPr>
          <w:i/>
        </w:rPr>
        <w:t>-160</w:t>
      </w:r>
      <w:r>
        <w:rPr>
          <w:i/>
        </w:rPr>
        <w:t>2</w:t>
      </w:r>
      <w:r w:rsidRPr="00F22E0F">
        <w:t xml:space="preserve"> (Oxford, 201</w:t>
      </w:r>
      <w:r>
        <w:t>4</w:t>
      </w:r>
      <w:r w:rsidRPr="00F22E0F">
        <w:t>), p</w:t>
      </w:r>
      <w:r>
        <w:t>p</w:t>
      </w:r>
      <w:r w:rsidRPr="00F22E0F">
        <w:t xml:space="preserve">. </w:t>
      </w:r>
      <w:r>
        <w:t>3-4</w:t>
      </w:r>
      <w:r w:rsidR="00CD5660">
        <w:t>.</w:t>
      </w:r>
    </w:p>
  </w:footnote>
  <w:footnote w:id="55">
    <w:p w14:paraId="4BB7185B" w14:textId="447D3F97" w:rsidR="00FB3F4F" w:rsidRPr="00551F26" w:rsidRDefault="00FB3F4F">
      <w:pPr>
        <w:pStyle w:val="FootnoteText"/>
      </w:pPr>
      <w:r>
        <w:rPr>
          <w:rStyle w:val="FootnoteReference"/>
        </w:rPr>
        <w:footnoteRef/>
      </w:r>
      <w:r>
        <w:t xml:space="preserve"> M. Nyquist, ‘“Profuse, proud Cleopatra”: “Barbarism” and Female Rule in Early Modern English Republicanism’, </w:t>
      </w:r>
      <w:r>
        <w:rPr>
          <w:i/>
        </w:rPr>
        <w:t>Women’s Studies</w:t>
      </w:r>
      <w:r>
        <w:t>, 24/1-2 (1994), pp.88-92</w:t>
      </w:r>
      <w:r w:rsidR="00CD5660">
        <w:t>.</w:t>
      </w:r>
    </w:p>
  </w:footnote>
  <w:footnote w:id="56">
    <w:p w14:paraId="6FADFCCA" w14:textId="1F521C04" w:rsidR="00FB3F4F" w:rsidRPr="00B308FD" w:rsidRDefault="00FB3F4F">
      <w:pPr>
        <w:pStyle w:val="FootnoteText"/>
      </w:pPr>
      <w:r>
        <w:rPr>
          <w:rStyle w:val="FootnoteReference"/>
        </w:rPr>
        <w:footnoteRef/>
      </w:r>
      <w:r>
        <w:t xml:space="preserve"> Garnier, ‘Antonius’, I.141-2, 156-7</w:t>
      </w:r>
      <w:r w:rsidR="00CD5660">
        <w:t>.</w:t>
      </w:r>
    </w:p>
  </w:footnote>
  <w:footnote w:id="57">
    <w:p w14:paraId="151FC089" w14:textId="34AB0100" w:rsidR="00FB3F4F" w:rsidRDefault="00FB3F4F">
      <w:pPr>
        <w:pStyle w:val="FootnoteText"/>
      </w:pPr>
      <w:r>
        <w:rPr>
          <w:rStyle w:val="FootnoteReference"/>
        </w:rPr>
        <w:footnoteRef/>
      </w:r>
      <w:r>
        <w:t xml:space="preserve"> </w:t>
      </w:r>
      <w:r w:rsidRPr="00C8076F">
        <w:rPr>
          <w:rFonts w:cs="Times New Roman"/>
        </w:rPr>
        <w:t xml:space="preserve">Brandon, </w:t>
      </w:r>
      <w:r w:rsidRPr="00C8076F">
        <w:rPr>
          <w:rFonts w:cs="Times New Roman"/>
          <w:i/>
        </w:rPr>
        <w:t>The Virtuous Octavia</w:t>
      </w:r>
      <w:r w:rsidRPr="00C8076F">
        <w:rPr>
          <w:rFonts w:cs="Times New Roman"/>
        </w:rPr>
        <w:t>,</w:t>
      </w:r>
      <w:r>
        <w:rPr>
          <w:rFonts w:cs="Times New Roman"/>
        </w:rPr>
        <w:t xml:space="preserve"> V.iii.2185-2243</w:t>
      </w:r>
      <w:r w:rsidR="00CD5660">
        <w:rPr>
          <w:rFonts w:cs="Times New Roman"/>
        </w:rPr>
        <w:t>.</w:t>
      </w:r>
    </w:p>
  </w:footnote>
  <w:footnote w:id="58">
    <w:p w14:paraId="1768CA19" w14:textId="12A28631" w:rsidR="00FB3F4F" w:rsidRPr="001D6817" w:rsidRDefault="00FB3F4F">
      <w:pPr>
        <w:pStyle w:val="FootnoteText"/>
      </w:pPr>
      <w:r>
        <w:rPr>
          <w:rStyle w:val="FootnoteReference"/>
        </w:rPr>
        <w:footnoteRef/>
      </w:r>
      <w:r>
        <w:t xml:space="preserve"> S</w:t>
      </w:r>
      <w:r w:rsidR="006D122E">
        <w:t>amuel</w:t>
      </w:r>
      <w:r>
        <w:t xml:space="preserve"> Daniel, </w:t>
      </w:r>
      <w:r w:rsidRPr="001D6817">
        <w:rPr>
          <w:i/>
        </w:rPr>
        <w:t>Delia and Rosamond augmented. Cleopatra</w:t>
      </w:r>
      <w:r>
        <w:t xml:space="preserve"> (London, 1594), sig. I7v</w:t>
      </w:r>
      <w:r w:rsidR="00CD5660">
        <w:t>.</w:t>
      </w:r>
    </w:p>
  </w:footnote>
  <w:footnote w:id="59">
    <w:p w14:paraId="1D5357AF" w14:textId="79736366" w:rsidR="00FB3F4F" w:rsidRPr="001D6817" w:rsidRDefault="00FB3F4F">
      <w:pPr>
        <w:pStyle w:val="FootnoteText"/>
      </w:pPr>
      <w:r>
        <w:rPr>
          <w:rStyle w:val="FootnoteReference"/>
        </w:rPr>
        <w:footnoteRef/>
      </w:r>
      <w:r>
        <w:t xml:space="preserve"> Daniel, </w:t>
      </w:r>
      <w:r>
        <w:rPr>
          <w:i/>
        </w:rPr>
        <w:t>Cleopatra</w:t>
      </w:r>
      <w:r>
        <w:t>, sig. I4v</w:t>
      </w:r>
      <w:r w:rsidR="00CD5660">
        <w:t>.</w:t>
      </w:r>
    </w:p>
  </w:footnote>
  <w:footnote w:id="60">
    <w:p w14:paraId="6256F3A3" w14:textId="5AB9365D" w:rsidR="00FB3F4F" w:rsidRDefault="00FB3F4F">
      <w:pPr>
        <w:pStyle w:val="FootnoteText"/>
      </w:pPr>
      <w:r>
        <w:rPr>
          <w:rStyle w:val="FootnoteReference"/>
        </w:rPr>
        <w:footnoteRef/>
      </w:r>
      <w:r>
        <w:t xml:space="preserve"> Daniel, </w:t>
      </w:r>
      <w:r>
        <w:rPr>
          <w:i/>
        </w:rPr>
        <w:t>Cleopatra</w:t>
      </w:r>
      <w:r>
        <w:t>, sig. I4v-I5r</w:t>
      </w:r>
      <w:r w:rsidR="00CD5660">
        <w:t>.</w:t>
      </w:r>
    </w:p>
  </w:footnote>
  <w:footnote w:id="61">
    <w:p w14:paraId="7D7F32CE" w14:textId="0002CC50" w:rsidR="00FB3F4F" w:rsidRPr="00846298" w:rsidRDefault="00FB3F4F">
      <w:pPr>
        <w:pStyle w:val="FootnoteText"/>
      </w:pPr>
      <w:r>
        <w:rPr>
          <w:rStyle w:val="FootnoteReference"/>
        </w:rPr>
        <w:footnoteRef/>
      </w:r>
      <w:r>
        <w:t xml:space="preserve"> W</w:t>
      </w:r>
      <w:r w:rsidR="006D122E">
        <w:t>illiam</w:t>
      </w:r>
      <w:r>
        <w:t xml:space="preserve"> Shakespeare, </w:t>
      </w:r>
      <w:r>
        <w:rPr>
          <w:i/>
        </w:rPr>
        <w:t>Antony and Cleopatra</w:t>
      </w:r>
      <w:r>
        <w:t>, ed. Michael Neil (Oxford, 2008), IV.xv.22-141</w:t>
      </w:r>
      <w:r w:rsidR="00CD5660">
        <w:t>.</w:t>
      </w:r>
    </w:p>
  </w:footnote>
  <w:footnote w:id="62">
    <w:p w14:paraId="00B61369" w14:textId="472824AB" w:rsidR="00FB3F4F" w:rsidRPr="006E63E2" w:rsidRDefault="00FB3F4F">
      <w:pPr>
        <w:pStyle w:val="FootnoteText"/>
      </w:pPr>
      <w:r>
        <w:rPr>
          <w:rStyle w:val="FootnoteReference"/>
        </w:rPr>
        <w:footnoteRef/>
      </w:r>
      <w:r>
        <w:t xml:space="preserve"> Shakespeare, </w:t>
      </w:r>
      <w:r>
        <w:rPr>
          <w:i/>
        </w:rPr>
        <w:t>Antony and Cleopatra</w:t>
      </w:r>
      <w:r>
        <w:t>, I.iii.</w:t>
      </w:r>
      <w:r w:rsidR="0007208F">
        <w:t>9</w:t>
      </w:r>
      <w:r>
        <w:t>-10</w:t>
      </w:r>
      <w:r w:rsidR="00CD5660">
        <w:t>.</w:t>
      </w:r>
    </w:p>
  </w:footnote>
  <w:footnote w:id="63">
    <w:p w14:paraId="0D299E1F" w14:textId="4D36C25B" w:rsidR="00FB3F4F" w:rsidRPr="006E63E2" w:rsidRDefault="00FB3F4F">
      <w:pPr>
        <w:pStyle w:val="FootnoteText"/>
        <w:rPr>
          <w:rFonts w:cs="Times New Roman"/>
        </w:rPr>
      </w:pPr>
      <w:r>
        <w:rPr>
          <w:rStyle w:val="FootnoteReference"/>
        </w:rPr>
        <w:footnoteRef/>
      </w:r>
      <w:r>
        <w:t xml:space="preserve"> </w:t>
      </w:r>
      <w:r w:rsidRPr="00C8076F">
        <w:rPr>
          <w:rFonts w:cs="Times New Roman"/>
        </w:rPr>
        <w:t xml:space="preserve">Brandon, </w:t>
      </w:r>
      <w:r w:rsidRPr="00C8076F">
        <w:rPr>
          <w:rFonts w:cs="Times New Roman"/>
          <w:i/>
        </w:rPr>
        <w:t>The Virtuous Octavia</w:t>
      </w:r>
      <w:r w:rsidRPr="00C8076F">
        <w:rPr>
          <w:rFonts w:cs="Times New Roman"/>
        </w:rPr>
        <w:t>, II.ii.740-932</w:t>
      </w:r>
      <w:r w:rsidR="00CD5660">
        <w:rPr>
          <w:rFonts w:cs="Times New Roman"/>
        </w:rPr>
        <w:t>.</w:t>
      </w:r>
    </w:p>
  </w:footnote>
  <w:footnote w:id="64">
    <w:p w14:paraId="25D93FDD" w14:textId="73B04AE9" w:rsidR="00FB3F4F" w:rsidRDefault="00FB3F4F">
      <w:pPr>
        <w:pStyle w:val="FootnoteText"/>
      </w:pPr>
      <w:r>
        <w:rPr>
          <w:rStyle w:val="FootnoteReference"/>
        </w:rPr>
        <w:footnoteRef/>
      </w:r>
      <w:r>
        <w:t xml:space="preserve"> </w:t>
      </w:r>
      <w:r w:rsidRPr="00C0048E">
        <w:rPr>
          <w:i/>
        </w:rPr>
        <w:t>Caesar’s Revenge</w:t>
      </w:r>
      <w:r>
        <w:t>, sig. E2r; sig. E4r</w:t>
      </w:r>
      <w:r w:rsidR="00CD5660">
        <w:t>.</w:t>
      </w:r>
    </w:p>
  </w:footnote>
  <w:footnote w:id="65">
    <w:p w14:paraId="4F638F12" w14:textId="35A7713F" w:rsidR="00FB3F4F" w:rsidRDefault="00FB3F4F">
      <w:pPr>
        <w:pStyle w:val="FootnoteText"/>
      </w:pPr>
      <w:r>
        <w:rPr>
          <w:rStyle w:val="FootnoteReference"/>
        </w:rPr>
        <w:footnoteRef/>
      </w:r>
      <w:r>
        <w:t xml:space="preserve"> </w:t>
      </w:r>
      <w:r w:rsidRPr="00C0048E">
        <w:rPr>
          <w:i/>
        </w:rPr>
        <w:t>Caesar’s Revenge</w:t>
      </w:r>
      <w:r>
        <w:t>,</w:t>
      </w:r>
      <w:r w:rsidRPr="00182A4D">
        <w:t xml:space="preserve"> </w:t>
      </w:r>
      <w:r w:rsidRPr="00371F4F">
        <w:t>sig. B3r</w:t>
      </w:r>
      <w:r>
        <w:t>; sig. B4v-Cr</w:t>
      </w:r>
      <w:r w:rsidR="00CD5660">
        <w:t>.</w:t>
      </w:r>
    </w:p>
  </w:footnote>
  <w:footnote w:id="66">
    <w:p w14:paraId="60E44277" w14:textId="44196027" w:rsidR="00820C7D" w:rsidRDefault="00820C7D">
      <w:pPr>
        <w:pStyle w:val="FootnoteText"/>
      </w:pPr>
      <w:r>
        <w:rPr>
          <w:rStyle w:val="FootnoteReference"/>
        </w:rPr>
        <w:footnoteRef/>
      </w:r>
      <w:r>
        <w:t xml:space="preserve"> </w:t>
      </w:r>
      <w:r w:rsidR="006A4971" w:rsidRPr="00852937">
        <w:t>G</w:t>
      </w:r>
      <w:r w:rsidR="006A4971">
        <w:t>eorge</w:t>
      </w:r>
      <w:r w:rsidR="006A4971" w:rsidRPr="00852937">
        <w:t xml:space="preserve"> Chapman, </w:t>
      </w:r>
      <w:r w:rsidR="006A4971" w:rsidRPr="00852937">
        <w:rPr>
          <w:i/>
        </w:rPr>
        <w:t>The Blind Beggar of Alexandria</w:t>
      </w:r>
      <w:r w:rsidR="006A4971" w:rsidRPr="00852937">
        <w:t>, ed.</w:t>
      </w:r>
      <w:r w:rsidR="006A4971">
        <w:t xml:space="preserve"> W. Greg</w:t>
      </w:r>
      <w:r w:rsidR="006A4971" w:rsidRPr="00852937">
        <w:t xml:space="preserve"> (Oxford, 1928)</w:t>
      </w:r>
      <w:r w:rsidR="006A4971">
        <w:t xml:space="preserve">, </w:t>
      </w:r>
      <w:r w:rsidR="00B63CA7">
        <w:t>43-9</w:t>
      </w:r>
      <w:r w:rsidR="005744CA">
        <w:t>.</w:t>
      </w:r>
    </w:p>
  </w:footnote>
  <w:footnote w:id="67">
    <w:p w14:paraId="2D324ED7" w14:textId="728B21AB" w:rsidR="00FB3F4F" w:rsidRPr="001D40D0" w:rsidRDefault="00FB3F4F">
      <w:pPr>
        <w:pStyle w:val="FootnoteText"/>
      </w:pPr>
      <w:r>
        <w:rPr>
          <w:rStyle w:val="FootnoteReference"/>
        </w:rPr>
        <w:footnoteRef/>
      </w:r>
      <w:r>
        <w:t xml:space="preserve"> E.V. </w:t>
      </w:r>
      <w:proofErr w:type="spellStart"/>
      <w:r>
        <w:t>Beilin</w:t>
      </w:r>
      <w:proofErr w:type="spellEnd"/>
      <w:r>
        <w:t xml:space="preserve">, </w:t>
      </w:r>
      <w:r>
        <w:rPr>
          <w:i/>
        </w:rPr>
        <w:t>Redeeming Eve: Women Writers of the English Renaissance</w:t>
      </w:r>
      <w:r>
        <w:t xml:space="preserve"> (Princeton, 1987), pp. 128-135</w:t>
      </w:r>
      <w:r w:rsidR="002A06E9">
        <w:t>;</w:t>
      </w:r>
      <w:r>
        <w:t xml:space="preserve"> P. </w:t>
      </w:r>
      <w:proofErr w:type="spellStart"/>
      <w:r>
        <w:t>Kewes</w:t>
      </w:r>
      <w:proofErr w:type="spellEnd"/>
      <w:r>
        <w:t>, ‘“</w:t>
      </w:r>
      <w:r w:rsidRPr="00842E8C">
        <w:t xml:space="preserve">A Fit Memorial for the Times to </w:t>
      </w:r>
      <w:proofErr w:type="gramStart"/>
      <w:r w:rsidRPr="00842E8C">
        <w:t>Come?…</w:t>
      </w:r>
      <w:proofErr w:type="gramEnd"/>
      <w:r>
        <w:t>”</w:t>
      </w:r>
      <w:r w:rsidRPr="00842E8C">
        <w:t>: Admonition and Topical Application in Mary Sidney's</w:t>
      </w:r>
      <w:r>
        <w:t xml:space="preserve"> </w:t>
      </w:r>
      <w:r w:rsidRPr="001D40D0">
        <w:rPr>
          <w:i/>
        </w:rPr>
        <w:t>Antonius</w:t>
      </w:r>
      <w:r w:rsidRPr="00842E8C">
        <w:t xml:space="preserve"> and Samuel Daniel's</w:t>
      </w:r>
      <w:r>
        <w:t xml:space="preserve">’ </w:t>
      </w:r>
      <w:r w:rsidRPr="001D40D0">
        <w:rPr>
          <w:i/>
        </w:rPr>
        <w:t>Cleopatra</w:t>
      </w:r>
      <w:r>
        <w:t xml:space="preserve">’, </w:t>
      </w:r>
      <w:r>
        <w:rPr>
          <w:i/>
        </w:rPr>
        <w:t>The Review of English Studies</w:t>
      </w:r>
      <w:r>
        <w:t>, 63/259 (2012), pp. 245-250</w:t>
      </w:r>
      <w:r w:rsidR="00CD5660">
        <w:t>.</w:t>
      </w:r>
    </w:p>
  </w:footnote>
  <w:footnote w:id="68">
    <w:p w14:paraId="7E45E0F7" w14:textId="1BE255D3" w:rsidR="00FB3F4F" w:rsidRPr="00285421" w:rsidRDefault="00FB3F4F">
      <w:pPr>
        <w:pStyle w:val="FootnoteText"/>
      </w:pPr>
      <w:r>
        <w:rPr>
          <w:rStyle w:val="FootnoteReference"/>
        </w:rPr>
        <w:footnoteRef/>
      </w:r>
      <w:r>
        <w:t xml:space="preserve"> M. Lamb, </w:t>
      </w:r>
      <w:r>
        <w:rPr>
          <w:i/>
        </w:rPr>
        <w:t>Gender and Authorship in the Sidney Circle</w:t>
      </w:r>
      <w:r>
        <w:t xml:space="preserve"> (Wisconsin, 1990), pp.130-1</w:t>
      </w:r>
      <w:r w:rsidR="002A06E9">
        <w:t>;</w:t>
      </w:r>
      <w:r>
        <w:t xml:space="preserve"> D. Clarke, ‘The Politics of Translation and Gender in the Countess of Pembroke’s </w:t>
      </w:r>
      <w:proofErr w:type="spellStart"/>
      <w:r>
        <w:rPr>
          <w:i/>
        </w:rPr>
        <w:t>Antonie</w:t>
      </w:r>
      <w:proofErr w:type="spellEnd"/>
      <w:r w:rsidR="00B616E0">
        <w:t>’,</w:t>
      </w:r>
      <w:r>
        <w:t xml:space="preserve"> </w:t>
      </w:r>
      <w:r>
        <w:rPr>
          <w:i/>
        </w:rPr>
        <w:t>Translation and Literature</w:t>
      </w:r>
      <w:r>
        <w:t>, 6/2 (1997), p. 156</w:t>
      </w:r>
      <w:r w:rsidR="00CD5660">
        <w:t>.</w:t>
      </w:r>
    </w:p>
  </w:footnote>
  <w:footnote w:id="69">
    <w:p w14:paraId="08A81F22" w14:textId="4E8480A1" w:rsidR="00FB3F4F" w:rsidRPr="0004624C" w:rsidRDefault="00FB3F4F">
      <w:pPr>
        <w:pStyle w:val="FootnoteText"/>
      </w:pPr>
      <w:r>
        <w:rPr>
          <w:rStyle w:val="FootnoteReference"/>
        </w:rPr>
        <w:footnoteRef/>
      </w:r>
      <w:r>
        <w:t xml:space="preserve"> Garnier, ‘Antonius’, II.ii.139-40</w:t>
      </w:r>
      <w:r w:rsidR="00CD5660">
        <w:t>.</w:t>
      </w:r>
    </w:p>
  </w:footnote>
  <w:footnote w:id="70">
    <w:p w14:paraId="7F1D1C1C" w14:textId="33EE0D64" w:rsidR="00FB3F4F" w:rsidRDefault="00FB3F4F">
      <w:pPr>
        <w:pStyle w:val="FootnoteText"/>
      </w:pPr>
      <w:r>
        <w:rPr>
          <w:rStyle w:val="FootnoteReference"/>
        </w:rPr>
        <w:footnoteRef/>
      </w:r>
      <w:r>
        <w:t xml:space="preserve"> Garnier, ‘Antonius’, II.ii.353-4</w:t>
      </w:r>
      <w:r w:rsidR="00CD5660">
        <w:t>.</w:t>
      </w:r>
    </w:p>
  </w:footnote>
  <w:footnote w:id="71">
    <w:p w14:paraId="52A85341" w14:textId="6EDD1EA8" w:rsidR="00FB3F4F" w:rsidRDefault="00FB3F4F">
      <w:pPr>
        <w:pStyle w:val="FootnoteText"/>
      </w:pPr>
      <w:r>
        <w:rPr>
          <w:rStyle w:val="FootnoteReference"/>
        </w:rPr>
        <w:footnoteRef/>
      </w:r>
      <w:r>
        <w:t xml:space="preserve"> Garnier, ‘Antonius’, I.149-236</w:t>
      </w:r>
      <w:r w:rsidR="00F40A25">
        <w:t>;</w:t>
      </w:r>
      <w:r>
        <w:t xml:space="preserve"> II.i.85-150; II.ii.357-477; III.387-482</w:t>
      </w:r>
      <w:r w:rsidR="00CD5660">
        <w:t>.</w:t>
      </w:r>
    </w:p>
  </w:footnote>
  <w:footnote w:id="72">
    <w:p w14:paraId="56448D84" w14:textId="41D33870" w:rsidR="00FB3F4F" w:rsidRDefault="00FB3F4F">
      <w:pPr>
        <w:pStyle w:val="FootnoteText"/>
      </w:pPr>
      <w:r>
        <w:rPr>
          <w:rStyle w:val="FootnoteReference"/>
        </w:rPr>
        <w:footnoteRef/>
      </w:r>
      <w:r>
        <w:t xml:space="preserve"> Garnier, ‘Antonius’, II.ii.1-2</w:t>
      </w:r>
      <w:r w:rsidR="00F40A25">
        <w:t>.</w:t>
      </w:r>
    </w:p>
  </w:footnote>
  <w:footnote w:id="73">
    <w:p w14:paraId="53C4908D" w14:textId="39B72355" w:rsidR="00FB3F4F" w:rsidRDefault="00FB3F4F">
      <w:pPr>
        <w:pStyle w:val="FootnoteText"/>
      </w:pPr>
      <w:r>
        <w:rPr>
          <w:rStyle w:val="FootnoteReference"/>
        </w:rPr>
        <w:footnoteRef/>
      </w:r>
      <w:r>
        <w:t xml:space="preserve"> Garnier, ‘Antonius’, II.ii.23-4</w:t>
      </w:r>
      <w:r w:rsidR="00F40A25">
        <w:t>.</w:t>
      </w:r>
    </w:p>
  </w:footnote>
  <w:footnote w:id="74">
    <w:p w14:paraId="409C4719" w14:textId="427C6839" w:rsidR="00FB3F4F" w:rsidRDefault="00FB3F4F">
      <w:pPr>
        <w:pStyle w:val="FootnoteText"/>
      </w:pPr>
      <w:r>
        <w:rPr>
          <w:rStyle w:val="FootnoteReference"/>
        </w:rPr>
        <w:footnoteRef/>
      </w:r>
      <w:r>
        <w:t xml:space="preserve"> Garnier, ‘Antonius’, II.ii.181, 187-191</w:t>
      </w:r>
      <w:r w:rsidR="00F40A25">
        <w:t>.</w:t>
      </w:r>
    </w:p>
  </w:footnote>
  <w:footnote w:id="75">
    <w:p w14:paraId="57190DE8" w14:textId="33024359" w:rsidR="00FB3F4F" w:rsidRDefault="00FB3F4F">
      <w:pPr>
        <w:pStyle w:val="FootnoteText"/>
      </w:pPr>
      <w:r>
        <w:rPr>
          <w:rStyle w:val="FootnoteReference"/>
        </w:rPr>
        <w:footnoteRef/>
      </w:r>
      <w:r>
        <w:t xml:space="preserve"> Garnier, ‘Antonius’, II.ii.197-8</w:t>
      </w:r>
      <w:r w:rsidR="00F40A25">
        <w:t>.</w:t>
      </w:r>
    </w:p>
  </w:footnote>
  <w:footnote w:id="76">
    <w:p w14:paraId="5349C911" w14:textId="53801122" w:rsidR="00FB3F4F" w:rsidRDefault="00FB3F4F">
      <w:pPr>
        <w:pStyle w:val="FootnoteText"/>
      </w:pPr>
      <w:r>
        <w:rPr>
          <w:rStyle w:val="FootnoteReference"/>
        </w:rPr>
        <w:footnoteRef/>
      </w:r>
      <w:r>
        <w:t xml:space="preserve"> Plutarch,</w:t>
      </w:r>
      <w:r w:rsidR="00ED2BB0">
        <w:t xml:space="preserve"> ‘Antonius’</w:t>
      </w:r>
      <w:r w:rsidR="003F2F96">
        <w:t>,</w:t>
      </w:r>
      <w:r w:rsidR="00ED2BB0">
        <w:t xml:space="preserve"> trans. Thomas North in</w:t>
      </w:r>
      <w:r>
        <w:t xml:space="preserve"> </w:t>
      </w:r>
      <w:proofErr w:type="gramStart"/>
      <w:r w:rsidR="00303CBB" w:rsidRPr="00303CBB">
        <w:rPr>
          <w:i/>
        </w:rPr>
        <w:t>The</w:t>
      </w:r>
      <w:proofErr w:type="gramEnd"/>
      <w:r w:rsidR="00303CBB" w:rsidRPr="00303CBB">
        <w:rPr>
          <w:i/>
        </w:rPr>
        <w:t xml:space="preserve"> lives of the noble Grecians and </w:t>
      </w:r>
      <w:proofErr w:type="spellStart"/>
      <w:r w:rsidR="00303CBB" w:rsidRPr="00303CBB">
        <w:rPr>
          <w:i/>
        </w:rPr>
        <w:t>Romanes</w:t>
      </w:r>
      <w:proofErr w:type="spellEnd"/>
      <w:r w:rsidR="00303CBB">
        <w:t xml:space="preserve">, p. </w:t>
      </w:r>
      <w:r w:rsidR="00ED2BB0">
        <w:t>1005</w:t>
      </w:r>
    </w:p>
  </w:footnote>
  <w:footnote w:id="77">
    <w:p w14:paraId="187BFB9F" w14:textId="55838E98" w:rsidR="00FB3F4F" w:rsidRDefault="00FB3F4F">
      <w:pPr>
        <w:pStyle w:val="FootnoteText"/>
      </w:pPr>
      <w:r>
        <w:rPr>
          <w:rStyle w:val="FootnoteReference"/>
        </w:rPr>
        <w:footnoteRef/>
      </w:r>
      <w:r>
        <w:t xml:space="preserve"> Garnier, ‘Antonius’, V.16; V.159</w:t>
      </w:r>
      <w:r w:rsidR="00F40A25">
        <w:t>.</w:t>
      </w:r>
    </w:p>
  </w:footnote>
  <w:footnote w:id="78">
    <w:p w14:paraId="1E56ADD0" w14:textId="5E00888E" w:rsidR="00FB3F4F" w:rsidRDefault="00FB3F4F">
      <w:pPr>
        <w:pStyle w:val="FootnoteText"/>
      </w:pPr>
      <w:r>
        <w:rPr>
          <w:rStyle w:val="FootnoteReference"/>
        </w:rPr>
        <w:footnoteRef/>
      </w:r>
      <w:r>
        <w:t xml:space="preserve"> Clarke, ‘The Politics of Translation and Gender’, p. 156</w:t>
      </w:r>
      <w:r w:rsidR="00F40A25">
        <w:t>.</w:t>
      </w:r>
    </w:p>
  </w:footnote>
  <w:footnote w:id="79">
    <w:p w14:paraId="00310F2D" w14:textId="480AB64D" w:rsidR="00FB3F4F" w:rsidRDefault="00FB3F4F">
      <w:pPr>
        <w:pStyle w:val="FootnoteText"/>
      </w:pPr>
      <w:r>
        <w:rPr>
          <w:rStyle w:val="FootnoteReference"/>
        </w:rPr>
        <w:footnoteRef/>
      </w:r>
      <w:r>
        <w:t xml:space="preserve"> Garnier, ‘Antonius’, II.ii.350-1</w:t>
      </w:r>
      <w:r w:rsidR="00F40A25">
        <w:t>.</w:t>
      </w:r>
    </w:p>
  </w:footnote>
  <w:footnote w:id="80">
    <w:p w14:paraId="0EE126C3" w14:textId="660554D9" w:rsidR="00FB3F4F" w:rsidRDefault="00FB3F4F">
      <w:pPr>
        <w:pStyle w:val="FootnoteText"/>
      </w:pPr>
      <w:r>
        <w:rPr>
          <w:rStyle w:val="FootnoteReference"/>
        </w:rPr>
        <w:footnoteRef/>
      </w:r>
      <w:r>
        <w:t xml:space="preserve"> Garnier, ‘Antonius’, III.309-12</w:t>
      </w:r>
      <w:r w:rsidR="00F40A25">
        <w:t>.</w:t>
      </w:r>
    </w:p>
  </w:footnote>
  <w:footnote w:id="81">
    <w:p w14:paraId="2E7ABC58" w14:textId="3EC66308" w:rsidR="00923763" w:rsidRDefault="00923763">
      <w:pPr>
        <w:pStyle w:val="FootnoteText"/>
      </w:pPr>
      <w:r>
        <w:rPr>
          <w:rStyle w:val="FootnoteReference"/>
        </w:rPr>
        <w:footnoteRef/>
      </w:r>
      <w:r>
        <w:t xml:space="preserve"> Brandon, </w:t>
      </w:r>
      <w:r>
        <w:rPr>
          <w:i/>
        </w:rPr>
        <w:t>The Virtuous Octavia</w:t>
      </w:r>
      <w:r>
        <w:t xml:space="preserve">, III.ii.1341-4; </w:t>
      </w:r>
      <w:r w:rsidRPr="00C0048E">
        <w:rPr>
          <w:i/>
        </w:rPr>
        <w:t>Caesar’s Revenge</w:t>
      </w:r>
      <w:r>
        <w:t>, sig. E2r.</w:t>
      </w:r>
    </w:p>
  </w:footnote>
  <w:footnote w:id="82">
    <w:p w14:paraId="53F44EB3" w14:textId="42B1918C" w:rsidR="00FB3F4F" w:rsidRDefault="00FB3F4F">
      <w:pPr>
        <w:pStyle w:val="FootnoteText"/>
      </w:pPr>
      <w:r>
        <w:rPr>
          <w:rStyle w:val="FootnoteReference"/>
        </w:rPr>
        <w:footnoteRef/>
      </w:r>
      <w:r>
        <w:t xml:space="preserve"> M</w:t>
      </w:r>
      <w:r w:rsidR="000D6333">
        <w:t>.</w:t>
      </w:r>
      <w:r>
        <w:t xml:space="preserve"> </w:t>
      </w:r>
      <w:proofErr w:type="spellStart"/>
      <w:r>
        <w:t>Hannay</w:t>
      </w:r>
      <w:proofErr w:type="spellEnd"/>
      <w:r>
        <w:t xml:space="preserve">, </w:t>
      </w:r>
      <w:r w:rsidRPr="009754CE">
        <w:rPr>
          <w:i/>
        </w:rPr>
        <w:t>Philip’s Phoenix: Mary Sidney, Countess of Pembroke</w:t>
      </w:r>
      <w:r>
        <w:t xml:space="preserve"> (Oxford, 1990), p. 129</w:t>
      </w:r>
      <w:r w:rsidR="00F40A25">
        <w:t>.</w:t>
      </w:r>
    </w:p>
  </w:footnote>
  <w:footnote w:id="83">
    <w:p w14:paraId="3E5748D7" w14:textId="0A8AF178" w:rsidR="00FB3F4F" w:rsidRDefault="00FB3F4F">
      <w:pPr>
        <w:pStyle w:val="FootnoteText"/>
      </w:pPr>
      <w:r>
        <w:rPr>
          <w:rStyle w:val="FootnoteReference"/>
        </w:rPr>
        <w:footnoteRef/>
      </w:r>
      <w:r>
        <w:t xml:space="preserve"> M</w:t>
      </w:r>
      <w:r w:rsidR="003C7F6B">
        <w:t>ary</w:t>
      </w:r>
      <w:r>
        <w:t xml:space="preserve"> Sidney, ‘</w:t>
      </w:r>
      <w:proofErr w:type="spellStart"/>
      <w:r>
        <w:t>Astrea</w:t>
      </w:r>
      <w:proofErr w:type="spellEnd"/>
      <w:r>
        <w:t xml:space="preserve">’, </w:t>
      </w:r>
      <w:r w:rsidRPr="00710079">
        <w:rPr>
          <w:rFonts w:cs="Times New Roman"/>
        </w:rPr>
        <w:t xml:space="preserve">in </w:t>
      </w:r>
      <w:r w:rsidRPr="00710079">
        <w:rPr>
          <w:rFonts w:cs="Times New Roman"/>
          <w:i/>
        </w:rPr>
        <w:t>The Collected Works of Mary Sidney Herbert</w:t>
      </w:r>
      <w:r>
        <w:rPr>
          <w:rFonts w:cs="Times New Roman"/>
        </w:rPr>
        <w:t>; M</w:t>
      </w:r>
      <w:r w:rsidR="003C7F6B">
        <w:rPr>
          <w:rFonts w:cs="Times New Roman"/>
        </w:rPr>
        <w:t>ary</w:t>
      </w:r>
      <w:r>
        <w:rPr>
          <w:rFonts w:cs="Times New Roman"/>
        </w:rPr>
        <w:t xml:space="preserve"> Sidney, ‘Even now that Care’, </w:t>
      </w:r>
      <w:r w:rsidRPr="00710079">
        <w:rPr>
          <w:rFonts w:cs="Times New Roman"/>
          <w:i/>
        </w:rPr>
        <w:t>The Collected Works of Mary Sidney Herbert</w:t>
      </w:r>
      <w:r>
        <w:rPr>
          <w:rFonts w:cs="Times New Roman"/>
        </w:rPr>
        <w:t>, p. 104</w:t>
      </w:r>
      <w:r w:rsidR="00F40A25">
        <w:rPr>
          <w:rFonts w:cs="Times New Roman"/>
        </w:rPr>
        <w:t>.</w:t>
      </w:r>
    </w:p>
  </w:footnote>
  <w:footnote w:id="84">
    <w:p w14:paraId="64E86076" w14:textId="5DF4104A" w:rsidR="000D6333" w:rsidRPr="00CE3BD8" w:rsidRDefault="000D6333">
      <w:pPr>
        <w:pStyle w:val="FootnoteText"/>
      </w:pPr>
      <w:r>
        <w:rPr>
          <w:rStyle w:val="FootnoteReference"/>
        </w:rPr>
        <w:footnoteRef/>
      </w:r>
      <w:r>
        <w:t xml:space="preserve"> E. Wilson-Lee, ‘Women’s Weapons: Country House Diplomacy in the Countess of Pembroke’s French Translations’ in T. </w:t>
      </w:r>
      <w:r w:rsidR="00BF1C61">
        <w:t>Demetrio</w:t>
      </w:r>
      <w:r w:rsidR="00EE44BE">
        <w:t>u</w:t>
      </w:r>
      <w:r w:rsidR="00BF1C61">
        <w:t xml:space="preserve"> and R. Tomlinson (ed.), </w:t>
      </w:r>
      <w:r w:rsidR="00CE3BD8">
        <w:rPr>
          <w:i/>
        </w:rPr>
        <w:t>The Culture of Translation in Early Modern England and France, 1500-1660</w:t>
      </w:r>
      <w:r w:rsidR="00CE3BD8">
        <w:t xml:space="preserve"> (Basingstoke, 2015), p</w:t>
      </w:r>
      <w:r w:rsidR="00867552">
        <w:t>p. 130-5</w:t>
      </w:r>
    </w:p>
  </w:footnote>
  <w:footnote w:id="85">
    <w:p w14:paraId="3942FE32" w14:textId="451C340B" w:rsidR="00FB3F4F" w:rsidRPr="00E50113" w:rsidRDefault="00FB3F4F">
      <w:pPr>
        <w:pStyle w:val="FootnoteText"/>
      </w:pPr>
      <w:r>
        <w:rPr>
          <w:rStyle w:val="FootnoteReference"/>
        </w:rPr>
        <w:footnoteRef/>
      </w:r>
      <w:r>
        <w:t xml:space="preserve"> </w:t>
      </w:r>
      <w:proofErr w:type="spellStart"/>
      <w:r>
        <w:t>Hannay</w:t>
      </w:r>
      <w:proofErr w:type="spellEnd"/>
      <w:r>
        <w:t xml:space="preserve">, </w:t>
      </w:r>
      <w:r>
        <w:rPr>
          <w:i/>
        </w:rPr>
        <w:t>Philip’s Phoenix</w:t>
      </w:r>
      <w:r>
        <w:t>, p. 127</w:t>
      </w:r>
      <w:r w:rsidR="00F40A25">
        <w:t>.</w:t>
      </w:r>
    </w:p>
  </w:footnote>
  <w:footnote w:id="86">
    <w:p w14:paraId="624A1EDB" w14:textId="59F30F24" w:rsidR="00FB3F4F" w:rsidRPr="00820B40" w:rsidRDefault="00FB3F4F">
      <w:pPr>
        <w:pStyle w:val="FootnoteText"/>
      </w:pPr>
      <w:r>
        <w:rPr>
          <w:rStyle w:val="FootnoteReference"/>
        </w:rPr>
        <w:footnoteRef/>
      </w:r>
      <w:r>
        <w:t xml:space="preserve"> C</w:t>
      </w:r>
      <w:r w:rsidR="003C7F6B">
        <w:t>hristopher</w:t>
      </w:r>
      <w:r>
        <w:t xml:space="preserve"> Marlowe, ‘Dido, Queen of Carthage’ in J.B. </w:t>
      </w:r>
      <w:proofErr w:type="spellStart"/>
      <w:r>
        <w:t>Steane</w:t>
      </w:r>
      <w:proofErr w:type="spellEnd"/>
      <w:r>
        <w:t xml:space="preserve"> (ed.) </w:t>
      </w:r>
      <w:r>
        <w:rPr>
          <w:i/>
        </w:rPr>
        <w:t>The Complete Plays</w:t>
      </w:r>
      <w:r>
        <w:t xml:space="preserve"> (London, 1969), IV.iv.13-16</w:t>
      </w:r>
      <w:r w:rsidR="00F40A25">
        <w:t>.</w:t>
      </w:r>
    </w:p>
  </w:footnote>
  <w:footnote w:id="87">
    <w:p w14:paraId="275C2451" w14:textId="2168F424" w:rsidR="00FB3F4F" w:rsidRPr="00CB48BC" w:rsidRDefault="00FB3F4F">
      <w:pPr>
        <w:pStyle w:val="FootnoteText"/>
      </w:pPr>
      <w:r>
        <w:rPr>
          <w:rStyle w:val="FootnoteReference"/>
        </w:rPr>
        <w:footnoteRef/>
      </w:r>
      <w:r>
        <w:t xml:space="preserve"> Marlowe, ‘Dido’, IV.iv.35</w:t>
      </w:r>
      <w:r w:rsidR="0090540E">
        <w:t xml:space="preserve">; </w:t>
      </w:r>
      <w:r w:rsidRPr="006B0E6A">
        <w:t>S</w:t>
      </w:r>
      <w:r>
        <w:t xml:space="preserve">. Doran and P. </w:t>
      </w:r>
      <w:proofErr w:type="spellStart"/>
      <w:r>
        <w:t>Kewes</w:t>
      </w:r>
      <w:proofErr w:type="spellEnd"/>
      <w:r>
        <w:t xml:space="preserve">, ‘The earlier Elizabethan succession question revisited’ in S. Doran and P. </w:t>
      </w:r>
      <w:proofErr w:type="spellStart"/>
      <w:r>
        <w:t>Kewes</w:t>
      </w:r>
      <w:proofErr w:type="spellEnd"/>
      <w:r>
        <w:t xml:space="preserve"> (ed.) </w:t>
      </w:r>
      <w:r>
        <w:rPr>
          <w:i/>
        </w:rPr>
        <w:t>Doubtful and Dangerous: The question of succession in late Elizabethan England</w:t>
      </w:r>
      <w:r>
        <w:t xml:space="preserve"> (Manchester, 2014), p. 32</w:t>
      </w:r>
      <w:r w:rsidR="00F40A25">
        <w:t>.</w:t>
      </w:r>
    </w:p>
  </w:footnote>
  <w:footnote w:id="88">
    <w:p w14:paraId="3519946C" w14:textId="36154C05" w:rsidR="00FB3F4F" w:rsidRDefault="00FB3F4F">
      <w:pPr>
        <w:pStyle w:val="FootnoteText"/>
      </w:pPr>
      <w:r>
        <w:rPr>
          <w:rStyle w:val="FootnoteReference"/>
        </w:rPr>
        <w:footnoteRef/>
      </w:r>
      <w:r>
        <w:t xml:space="preserve"> Marlowe, ‘Dido’, IV.iii.1-44</w:t>
      </w:r>
      <w:r w:rsidR="00F40A25">
        <w:t>.</w:t>
      </w:r>
    </w:p>
  </w:footnote>
  <w:footnote w:id="89">
    <w:p w14:paraId="280D072E" w14:textId="50570986" w:rsidR="00FB3F4F" w:rsidRDefault="00FB3F4F">
      <w:pPr>
        <w:pStyle w:val="FootnoteText"/>
      </w:pPr>
      <w:r>
        <w:rPr>
          <w:rStyle w:val="FootnoteReference"/>
        </w:rPr>
        <w:footnoteRef/>
      </w:r>
      <w:r>
        <w:t xml:space="preserve"> Marlowe, ‘Dido’, IV.iii.47-8</w:t>
      </w:r>
      <w:r w:rsidR="00F40A25">
        <w:t>.</w:t>
      </w:r>
    </w:p>
  </w:footnote>
  <w:footnote w:id="90">
    <w:p w14:paraId="4A60036D" w14:textId="1235D13F" w:rsidR="00E068B3" w:rsidRDefault="00E068B3">
      <w:pPr>
        <w:pStyle w:val="FootnoteText"/>
      </w:pPr>
      <w:r>
        <w:rPr>
          <w:rStyle w:val="FootnoteReference"/>
        </w:rPr>
        <w:footnoteRef/>
      </w:r>
      <w:r>
        <w:t xml:space="preserve"> Marlowe, ‘Dido’, II.i.320ff.</w:t>
      </w:r>
    </w:p>
  </w:footnote>
  <w:footnote w:id="91">
    <w:p w14:paraId="4C5BDD1A" w14:textId="50E24B14" w:rsidR="00FB3F4F" w:rsidRDefault="00FB3F4F">
      <w:pPr>
        <w:pStyle w:val="FootnoteText"/>
      </w:pPr>
      <w:r>
        <w:rPr>
          <w:rStyle w:val="FootnoteReference"/>
        </w:rPr>
        <w:footnoteRef/>
      </w:r>
      <w:r>
        <w:t xml:space="preserve"> Marlowe, ‘Dido’, III.iv.3-6</w:t>
      </w:r>
      <w:r w:rsidR="00F40A25">
        <w:t>,</w:t>
      </w:r>
      <w:r>
        <w:t xml:space="preserve"> 57</w:t>
      </w:r>
      <w:r w:rsidR="00F40A25">
        <w:t>.</w:t>
      </w:r>
    </w:p>
  </w:footnote>
  <w:footnote w:id="92">
    <w:p w14:paraId="095B15E0" w14:textId="4C1F7C6B" w:rsidR="00FB3F4F" w:rsidRDefault="00FB3F4F">
      <w:pPr>
        <w:pStyle w:val="FootnoteText"/>
      </w:pPr>
      <w:r>
        <w:rPr>
          <w:rStyle w:val="FootnoteReference"/>
        </w:rPr>
        <w:footnoteRef/>
      </w:r>
      <w:r>
        <w:t xml:space="preserve"> Marlowe, ‘Dido’, V.i.292-313</w:t>
      </w:r>
      <w:r w:rsidR="00F40A25">
        <w:t>.</w:t>
      </w:r>
    </w:p>
  </w:footnote>
  <w:footnote w:id="93">
    <w:p w14:paraId="4655E3D7" w14:textId="2BC31AC2" w:rsidR="00E40ABF" w:rsidRPr="00311F3D" w:rsidRDefault="00E40ABF">
      <w:pPr>
        <w:pStyle w:val="FootnoteText"/>
      </w:pPr>
      <w:r>
        <w:rPr>
          <w:rStyle w:val="FootnoteReference"/>
        </w:rPr>
        <w:footnoteRef/>
      </w:r>
      <w:r>
        <w:t xml:space="preserve"> </w:t>
      </w:r>
      <w:r w:rsidR="00311F3D">
        <w:t xml:space="preserve">P. </w:t>
      </w:r>
      <w:proofErr w:type="spellStart"/>
      <w:r w:rsidR="00311F3D">
        <w:t>Kewes</w:t>
      </w:r>
      <w:proofErr w:type="spellEnd"/>
      <w:r w:rsidR="00311F3D">
        <w:t xml:space="preserve">, ‘Marlowe, history and politics’ in </w:t>
      </w:r>
      <w:r w:rsidR="00041AC6">
        <w:rPr>
          <w:color w:val="000000"/>
          <w:szCs w:val="18"/>
        </w:rPr>
        <w:t xml:space="preserve">E. Bartels and E. Smith (ed.), </w:t>
      </w:r>
      <w:r w:rsidR="00041AC6">
        <w:rPr>
          <w:i/>
          <w:color w:val="000000"/>
          <w:szCs w:val="18"/>
        </w:rPr>
        <w:t>Christopher Marlowe in Context</w:t>
      </w:r>
      <w:r w:rsidR="00041AC6">
        <w:rPr>
          <w:color w:val="000000"/>
          <w:szCs w:val="18"/>
        </w:rPr>
        <w:t xml:space="preserve"> (Cambridge, 2013), pp. 147-9</w:t>
      </w:r>
      <w:r w:rsidR="005535B9">
        <w:rPr>
          <w:color w:val="000000"/>
          <w:szCs w:val="18"/>
        </w:rPr>
        <w:t>.</w:t>
      </w:r>
    </w:p>
  </w:footnote>
  <w:footnote w:id="94">
    <w:p w14:paraId="421915F3" w14:textId="76E65938" w:rsidR="009512F9" w:rsidRPr="009512F9" w:rsidRDefault="009512F9">
      <w:pPr>
        <w:pStyle w:val="FootnoteText"/>
      </w:pPr>
      <w:r>
        <w:rPr>
          <w:rStyle w:val="FootnoteReference"/>
        </w:rPr>
        <w:footnoteRef/>
      </w:r>
      <w:r>
        <w:t xml:space="preserve"> S. Simkin, </w:t>
      </w:r>
      <w:r>
        <w:rPr>
          <w:i/>
        </w:rPr>
        <w:t>Marlowe: The Plays</w:t>
      </w:r>
      <w:r>
        <w:t xml:space="preserve"> (Basingstoke, 2001), p. 221</w:t>
      </w:r>
      <w:r w:rsidR="005535B9">
        <w:t>.</w:t>
      </w:r>
    </w:p>
  </w:footnote>
  <w:footnote w:id="95">
    <w:p w14:paraId="33335C65" w14:textId="0EB5417C" w:rsidR="00FB3F4F" w:rsidRDefault="00FB3F4F">
      <w:pPr>
        <w:pStyle w:val="FootnoteText"/>
      </w:pPr>
      <w:r>
        <w:rPr>
          <w:rStyle w:val="FootnoteReference"/>
        </w:rPr>
        <w:footnoteRef/>
      </w:r>
      <w:r>
        <w:t xml:space="preserve"> Garnier, ‘Antonius’, III.133-4</w:t>
      </w:r>
      <w:r w:rsidR="00F40A25">
        <w:t>.</w:t>
      </w:r>
    </w:p>
  </w:footnote>
  <w:footnote w:id="96">
    <w:p w14:paraId="4927E915" w14:textId="474C1070" w:rsidR="00FB3F4F" w:rsidRDefault="00FB3F4F">
      <w:pPr>
        <w:pStyle w:val="FootnoteText"/>
      </w:pPr>
      <w:r>
        <w:rPr>
          <w:rStyle w:val="FootnoteReference"/>
        </w:rPr>
        <w:footnoteRef/>
      </w:r>
      <w:r>
        <w:t xml:space="preserve"> Clarke, ‘The Politics of Translation and Gender’, pp. 156-7</w:t>
      </w:r>
      <w:r w:rsidR="00F40A25">
        <w:t>.</w:t>
      </w:r>
    </w:p>
  </w:footnote>
  <w:footnote w:id="97">
    <w:p w14:paraId="74E22CA6" w14:textId="72186D2C" w:rsidR="00FB3F4F" w:rsidRDefault="00FB3F4F">
      <w:pPr>
        <w:pStyle w:val="FootnoteText"/>
      </w:pPr>
      <w:r>
        <w:rPr>
          <w:rStyle w:val="FootnoteReference"/>
        </w:rPr>
        <w:footnoteRef/>
      </w:r>
      <w:r>
        <w:t xml:space="preserve"> Garnier, ‘Antonius’, I.16, 65-8</w:t>
      </w:r>
      <w:r w:rsidR="00F40A25">
        <w:t>.</w:t>
      </w:r>
    </w:p>
  </w:footnote>
  <w:footnote w:id="98">
    <w:p w14:paraId="390034E5" w14:textId="2E212C8B" w:rsidR="00FB3F4F" w:rsidRPr="00DC2DC5" w:rsidRDefault="00FB3F4F">
      <w:pPr>
        <w:pStyle w:val="FootnoteText"/>
      </w:pPr>
      <w:r>
        <w:rPr>
          <w:rStyle w:val="FootnoteReference"/>
        </w:rPr>
        <w:footnoteRef/>
      </w:r>
      <w:r>
        <w:t xml:space="preserve"> Brandon, </w:t>
      </w:r>
      <w:r>
        <w:rPr>
          <w:i/>
        </w:rPr>
        <w:t>The Virtuous Octavia</w:t>
      </w:r>
      <w:r>
        <w:t>, IV.1638-57</w:t>
      </w:r>
      <w:r w:rsidR="00F40A25">
        <w:t>.</w:t>
      </w:r>
    </w:p>
  </w:footnote>
  <w:footnote w:id="99">
    <w:p w14:paraId="7386FA92" w14:textId="4A8FEE49" w:rsidR="00FB3F4F" w:rsidRDefault="00FB3F4F">
      <w:pPr>
        <w:pStyle w:val="FootnoteText"/>
      </w:pPr>
      <w:r>
        <w:rPr>
          <w:rStyle w:val="FootnoteReference"/>
        </w:rPr>
        <w:footnoteRef/>
      </w:r>
      <w:r>
        <w:t xml:space="preserve"> Brandon, </w:t>
      </w:r>
      <w:r>
        <w:rPr>
          <w:i/>
        </w:rPr>
        <w:t>The Virtuous Octavia</w:t>
      </w:r>
      <w:r>
        <w:t>, IV.1744-51</w:t>
      </w:r>
      <w:r w:rsidR="00F40A25">
        <w:t>,</w:t>
      </w:r>
      <w:r>
        <w:t xml:space="preserve"> 1776-9</w:t>
      </w:r>
      <w:r w:rsidR="00F40A25">
        <w:t>.</w:t>
      </w:r>
    </w:p>
  </w:footnote>
  <w:footnote w:id="100">
    <w:p w14:paraId="52720B8A" w14:textId="788657D4" w:rsidR="00FB3F4F" w:rsidRDefault="00FB3F4F">
      <w:pPr>
        <w:pStyle w:val="FootnoteText"/>
      </w:pPr>
      <w:r>
        <w:rPr>
          <w:rStyle w:val="FootnoteReference"/>
        </w:rPr>
        <w:footnoteRef/>
      </w:r>
      <w:r>
        <w:t xml:space="preserve"> Brandon, </w:t>
      </w:r>
      <w:r>
        <w:rPr>
          <w:i/>
        </w:rPr>
        <w:t>The Virtuous Octavia</w:t>
      </w:r>
      <w:r>
        <w:t>, IV.1784-1821</w:t>
      </w:r>
      <w:r w:rsidR="00F40A25">
        <w:t>.</w:t>
      </w:r>
    </w:p>
  </w:footnote>
  <w:footnote w:id="101">
    <w:p w14:paraId="120F6F60" w14:textId="54E44D43" w:rsidR="00FB3F4F" w:rsidRDefault="00FB3F4F">
      <w:pPr>
        <w:pStyle w:val="FootnoteText"/>
      </w:pPr>
      <w:r>
        <w:rPr>
          <w:rStyle w:val="FootnoteReference"/>
        </w:rPr>
        <w:footnoteRef/>
      </w:r>
      <w:r>
        <w:t xml:space="preserve"> Brandon, </w:t>
      </w:r>
      <w:r>
        <w:rPr>
          <w:i/>
        </w:rPr>
        <w:t>The Virtuous Octavia</w:t>
      </w:r>
      <w:r>
        <w:t>, IV.1832</w:t>
      </w:r>
      <w:r w:rsidR="00F40A25">
        <w:t>.</w:t>
      </w:r>
    </w:p>
  </w:footnote>
  <w:footnote w:id="102">
    <w:p w14:paraId="79906C7D" w14:textId="5574D6E2" w:rsidR="00FB3F4F" w:rsidRPr="00AF530F" w:rsidRDefault="00FB3F4F" w:rsidP="00AF530F">
      <w:pPr>
        <w:pStyle w:val="FootnoteText"/>
      </w:pPr>
      <w:r>
        <w:rPr>
          <w:rStyle w:val="FootnoteReference"/>
        </w:rPr>
        <w:footnoteRef/>
      </w:r>
      <w:r>
        <w:t xml:space="preserve"> A. Hadfield, ‘Edmund Spenser and Samuel Brandon’, </w:t>
      </w:r>
      <w:r>
        <w:rPr>
          <w:i/>
        </w:rPr>
        <w:t>Notes and Queries</w:t>
      </w:r>
      <w:r>
        <w:t>, 54/4 (2009), p. 538</w:t>
      </w:r>
      <w:r w:rsidR="00F40A25">
        <w:t>.</w:t>
      </w:r>
    </w:p>
  </w:footnote>
  <w:footnote w:id="103">
    <w:p w14:paraId="341A4461" w14:textId="7E648A3E" w:rsidR="00FB3F4F" w:rsidRDefault="00FB3F4F">
      <w:pPr>
        <w:pStyle w:val="FootnoteText"/>
      </w:pPr>
      <w:r>
        <w:rPr>
          <w:rStyle w:val="FootnoteReference"/>
        </w:rPr>
        <w:footnoteRef/>
      </w:r>
      <w:r>
        <w:t xml:space="preserve"> Hadfield, ‘Edmund Spenser and Samuel Brandon’, pp. 536-7</w:t>
      </w:r>
      <w:r w:rsidR="00F40A25">
        <w:t>.</w:t>
      </w:r>
    </w:p>
  </w:footnote>
  <w:footnote w:id="104">
    <w:p w14:paraId="3A0E1A3B" w14:textId="207D6DC3" w:rsidR="00FB3F4F" w:rsidRPr="005F3CC1" w:rsidRDefault="00FB3F4F">
      <w:pPr>
        <w:pStyle w:val="FootnoteText"/>
      </w:pPr>
      <w:r>
        <w:rPr>
          <w:rStyle w:val="FootnoteReference"/>
        </w:rPr>
        <w:footnoteRef/>
      </w:r>
      <w:r>
        <w:t xml:space="preserve"> Shakespeare, </w:t>
      </w:r>
      <w:r>
        <w:rPr>
          <w:i/>
        </w:rPr>
        <w:t>Antony and Cleopatra</w:t>
      </w:r>
      <w:r>
        <w:t>, III.iv.12-14</w:t>
      </w:r>
      <w:r w:rsidR="00F40A25">
        <w:t>.</w:t>
      </w:r>
    </w:p>
  </w:footnote>
  <w:footnote w:id="105">
    <w:p w14:paraId="71E81760" w14:textId="25B053AA" w:rsidR="00FB3F4F" w:rsidRPr="00E6022D" w:rsidRDefault="00FB3F4F">
      <w:pPr>
        <w:pStyle w:val="FootnoteText"/>
      </w:pPr>
      <w:r>
        <w:rPr>
          <w:rStyle w:val="FootnoteReference"/>
        </w:rPr>
        <w:footnoteRef/>
      </w:r>
      <w:r>
        <w:t xml:space="preserve"> Brandon, </w:t>
      </w:r>
      <w:r>
        <w:rPr>
          <w:i/>
        </w:rPr>
        <w:t>The Virtuous Octavia</w:t>
      </w:r>
      <w:r>
        <w:t>, III.ii.1341-4</w:t>
      </w:r>
      <w:r w:rsidR="00F40A25">
        <w:t>.</w:t>
      </w:r>
    </w:p>
  </w:footnote>
  <w:footnote w:id="106">
    <w:p w14:paraId="4FB4A1A5" w14:textId="21BB10BA" w:rsidR="00FB3F4F" w:rsidRPr="00747DF6" w:rsidRDefault="00FB3F4F">
      <w:pPr>
        <w:pStyle w:val="FootnoteText"/>
      </w:pPr>
      <w:r>
        <w:rPr>
          <w:rStyle w:val="FootnoteReference"/>
        </w:rPr>
        <w:footnoteRef/>
      </w:r>
      <w:r>
        <w:t xml:space="preserve"> Shakespeare, </w:t>
      </w:r>
      <w:r>
        <w:rPr>
          <w:i/>
        </w:rPr>
        <w:t>Antony and Cleopatra</w:t>
      </w:r>
      <w:r>
        <w:t>, III.iv.121-3</w:t>
      </w:r>
      <w:r w:rsidR="00F40A25">
        <w:t>.</w:t>
      </w:r>
    </w:p>
  </w:footnote>
  <w:footnote w:id="107">
    <w:p w14:paraId="75ED37B0" w14:textId="10414D5C" w:rsidR="00FB3F4F" w:rsidRDefault="00FB3F4F">
      <w:pPr>
        <w:pStyle w:val="FootnoteText"/>
      </w:pPr>
      <w:r>
        <w:rPr>
          <w:rStyle w:val="FootnoteReference"/>
        </w:rPr>
        <w:footnoteRef/>
      </w:r>
      <w:r>
        <w:t xml:space="preserve"> Plutarch, ‘An</w:t>
      </w:r>
      <w:r w:rsidR="009721B1">
        <w:t>tonius</w:t>
      </w:r>
      <w:r>
        <w:t xml:space="preserve">’, p. </w:t>
      </w:r>
      <w:r w:rsidR="008A6E17">
        <w:t>984.</w:t>
      </w:r>
    </w:p>
  </w:footnote>
  <w:footnote w:id="108">
    <w:p w14:paraId="697A98C8" w14:textId="15E71822" w:rsidR="00FB3F4F" w:rsidRDefault="00FB3F4F">
      <w:pPr>
        <w:pStyle w:val="FootnoteText"/>
      </w:pPr>
      <w:r>
        <w:rPr>
          <w:rStyle w:val="FootnoteReference"/>
        </w:rPr>
        <w:footnoteRef/>
      </w:r>
      <w:r>
        <w:t xml:space="preserve"> Plutarch, ‘Anton</w:t>
      </w:r>
      <w:r w:rsidR="00A32079">
        <w:t>ius</w:t>
      </w:r>
      <w:r>
        <w:t xml:space="preserve">’, p. </w:t>
      </w:r>
      <w:r w:rsidR="008A6E17">
        <w:t>986.</w:t>
      </w:r>
    </w:p>
  </w:footnote>
  <w:footnote w:id="109">
    <w:p w14:paraId="766E8857" w14:textId="1BB7AAEE" w:rsidR="00FB3F4F" w:rsidRDefault="00FB3F4F" w:rsidP="0004663D">
      <w:pPr>
        <w:pStyle w:val="FootnoteText"/>
      </w:pPr>
      <w:r>
        <w:rPr>
          <w:rStyle w:val="FootnoteReference"/>
        </w:rPr>
        <w:footnoteRef/>
      </w:r>
      <w:r>
        <w:t xml:space="preserve"> Marlowe, ‘Dido’, IV.iii.51-5</w:t>
      </w:r>
      <w:r w:rsidR="00F40A25">
        <w:t>.</w:t>
      </w:r>
    </w:p>
  </w:footnote>
  <w:footnote w:id="110">
    <w:p w14:paraId="09716F44" w14:textId="70252AB9" w:rsidR="00FB3F4F" w:rsidRPr="00693CAE" w:rsidRDefault="00FB3F4F" w:rsidP="0004663D">
      <w:pPr>
        <w:pStyle w:val="FootnoteText"/>
      </w:pPr>
      <w:r>
        <w:rPr>
          <w:rStyle w:val="FootnoteReference"/>
        </w:rPr>
        <w:footnoteRef/>
      </w:r>
      <w:r>
        <w:t xml:space="preserve"> </w:t>
      </w:r>
      <w:r>
        <w:rPr>
          <w:i/>
        </w:rPr>
        <w:t>Caesar’s Revenge</w:t>
      </w:r>
      <w:r>
        <w:t xml:space="preserve">, </w:t>
      </w:r>
      <w:r w:rsidRPr="00371F4F">
        <w:t>sig. B3r</w:t>
      </w:r>
      <w:r w:rsidR="00F40A25">
        <w:t>.</w:t>
      </w:r>
    </w:p>
  </w:footnote>
  <w:footnote w:id="111">
    <w:p w14:paraId="0B565F72" w14:textId="0D29DF01" w:rsidR="00FB3F4F" w:rsidRDefault="00FB3F4F">
      <w:pPr>
        <w:pStyle w:val="FootnoteText"/>
      </w:pPr>
      <w:r>
        <w:rPr>
          <w:rStyle w:val="FootnoteReference"/>
        </w:rPr>
        <w:footnoteRef/>
      </w:r>
      <w:r>
        <w:t xml:space="preserve"> J</w:t>
      </w:r>
      <w:r w:rsidR="00252666">
        <w:t>uan</w:t>
      </w:r>
      <w:r>
        <w:t xml:space="preserve"> </w:t>
      </w:r>
      <w:proofErr w:type="spellStart"/>
      <w:r>
        <w:t>Vives</w:t>
      </w:r>
      <w:proofErr w:type="spellEnd"/>
      <w:r>
        <w:t xml:space="preserve">, </w:t>
      </w:r>
      <w:r w:rsidRPr="007C5956">
        <w:rPr>
          <w:i/>
        </w:rPr>
        <w:t>The Instruction of a Christ</w:t>
      </w:r>
      <w:r>
        <w:rPr>
          <w:i/>
        </w:rPr>
        <w:t>e</w:t>
      </w:r>
      <w:r w:rsidRPr="007C5956">
        <w:rPr>
          <w:i/>
        </w:rPr>
        <w:t>n Woman</w:t>
      </w:r>
      <w:r>
        <w:rPr>
          <w:rFonts w:cs="Times New Roman"/>
        </w:rPr>
        <w:t xml:space="preserve">, trans. Richard </w:t>
      </w:r>
      <w:proofErr w:type="spellStart"/>
      <w:r>
        <w:rPr>
          <w:rFonts w:cs="Times New Roman"/>
        </w:rPr>
        <w:t>Hyrde</w:t>
      </w:r>
      <w:proofErr w:type="spellEnd"/>
      <w:r>
        <w:rPr>
          <w:rFonts w:cs="Times New Roman"/>
        </w:rPr>
        <w:t xml:space="preserve"> (London, 1541)</w:t>
      </w:r>
      <w:r w:rsidR="00DB7440">
        <w:rPr>
          <w:rFonts w:cs="Times New Roman"/>
        </w:rPr>
        <w:t>,</w:t>
      </w:r>
      <w:r>
        <w:rPr>
          <w:rFonts w:cs="Times New Roman"/>
        </w:rPr>
        <w:t xml:space="preserve"> sig. I4v</w:t>
      </w:r>
      <w:r w:rsidR="00DB7440">
        <w:rPr>
          <w:rFonts w:cs="Times New Roman"/>
        </w:rPr>
        <w:t>;</w:t>
      </w:r>
      <w:r>
        <w:rPr>
          <w:rFonts w:cs="Times New Roman"/>
        </w:rPr>
        <w:t xml:space="preserve"> </w:t>
      </w:r>
      <w:r w:rsidR="008539AE">
        <w:rPr>
          <w:rFonts w:cs="Times New Roman"/>
        </w:rPr>
        <w:t>John</w:t>
      </w:r>
      <w:r>
        <w:rPr>
          <w:rFonts w:cs="Times New Roman"/>
        </w:rPr>
        <w:t xml:space="preserve"> </w:t>
      </w:r>
      <w:proofErr w:type="spellStart"/>
      <w:r>
        <w:rPr>
          <w:rFonts w:cs="Times New Roman"/>
        </w:rPr>
        <w:t>Dod</w:t>
      </w:r>
      <w:proofErr w:type="spellEnd"/>
      <w:r>
        <w:rPr>
          <w:rFonts w:cs="Times New Roman"/>
        </w:rPr>
        <w:t xml:space="preserve"> and </w:t>
      </w:r>
      <w:r w:rsidR="008539AE">
        <w:rPr>
          <w:rFonts w:cs="Times New Roman"/>
        </w:rPr>
        <w:t>Robert</w:t>
      </w:r>
      <w:r>
        <w:rPr>
          <w:rFonts w:cs="Times New Roman"/>
        </w:rPr>
        <w:t xml:space="preserve"> Cleaver, ‘A godly form of household government’ in </w:t>
      </w:r>
      <w:proofErr w:type="spellStart"/>
      <w:r>
        <w:rPr>
          <w:rFonts w:cs="Times New Roman"/>
        </w:rPr>
        <w:t>Aughterson</w:t>
      </w:r>
      <w:proofErr w:type="spellEnd"/>
      <w:r>
        <w:rPr>
          <w:rFonts w:cs="Times New Roman"/>
        </w:rPr>
        <w:t xml:space="preserve">, </w:t>
      </w:r>
      <w:r>
        <w:rPr>
          <w:rFonts w:cs="Times New Roman"/>
          <w:i/>
        </w:rPr>
        <w:t>Renaissance Women</w:t>
      </w:r>
      <w:r>
        <w:rPr>
          <w:rFonts w:cs="Times New Roman"/>
        </w:rPr>
        <w:t>, p.82</w:t>
      </w:r>
      <w:r w:rsidR="00DB7440">
        <w:rPr>
          <w:rFonts w:cs="Times New Roman"/>
        </w:rPr>
        <w:t>;</w:t>
      </w:r>
      <w:r>
        <w:t xml:space="preserve"> </w:t>
      </w:r>
      <w:r w:rsidR="00872CE2">
        <w:t xml:space="preserve">Jewel, </w:t>
      </w:r>
      <w:r w:rsidRPr="00032E2A">
        <w:rPr>
          <w:rFonts w:cs="Times New Roman"/>
        </w:rPr>
        <w:t>‘A homily of the state of matrimony’</w:t>
      </w:r>
      <w:r>
        <w:rPr>
          <w:rFonts w:cs="Times New Roman"/>
        </w:rPr>
        <w:t xml:space="preserve">, pp. 806-7. </w:t>
      </w:r>
    </w:p>
  </w:footnote>
  <w:footnote w:id="112">
    <w:p w14:paraId="5528A210" w14:textId="0B4D8816" w:rsidR="00FB3F4F" w:rsidRDefault="00FB3F4F">
      <w:pPr>
        <w:pStyle w:val="FootnoteText"/>
      </w:pPr>
      <w:r>
        <w:rPr>
          <w:rStyle w:val="FootnoteReference"/>
        </w:rPr>
        <w:footnoteRef/>
      </w:r>
      <w:r>
        <w:t xml:space="preserve"> Daniel, </w:t>
      </w:r>
      <w:r>
        <w:rPr>
          <w:i/>
        </w:rPr>
        <w:t>Cleopatra</w:t>
      </w:r>
      <w:r>
        <w:t>, sig. I4v</w:t>
      </w:r>
      <w:r w:rsidR="00F40A25">
        <w:t>.</w:t>
      </w:r>
    </w:p>
  </w:footnote>
  <w:footnote w:id="113">
    <w:p w14:paraId="4CAED903" w14:textId="386A734F" w:rsidR="00FB3F4F" w:rsidRDefault="00FB3F4F">
      <w:pPr>
        <w:pStyle w:val="FootnoteText"/>
      </w:pPr>
      <w:r>
        <w:rPr>
          <w:rStyle w:val="FootnoteReference"/>
        </w:rPr>
        <w:footnoteRef/>
      </w:r>
      <w:r>
        <w:t xml:space="preserve"> Daniel, </w:t>
      </w:r>
      <w:r>
        <w:rPr>
          <w:i/>
        </w:rPr>
        <w:t>Cleopatra</w:t>
      </w:r>
      <w:r>
        <w:t>, sig. L4v-L7v</w:t>
      </w:r>
      <w:r w:rsidR="00F40A25">
        <w:t>.</w:t>
      </w:r>
    </w:p>
  </w:footnote>
  <w:footnote w:id="114">
    <w:p w14:paraId="56609271" w14:textId="66D663D4" w:rsidR="00FB3F4F" w:rsidRDefault="00FB3F4F">
      <w:pPr>
        <w:pStyle w:val="FootnoteText"/>
      </w:pPr>
      <w:r>
        <w:rPr>
          <w:rStyle w:val="FootnoteReference"/>
        </w:rPr>
        <w:footnoteRef/>
      </w:r>
      <w:r>
        <w:t xml:space="preserve"> Daniel, </w:t>
      </w:r>
      <w:r>
        <w:rPr>
          <w:i/>
        </w:rPr>
        <w:t>Cleopatra</w:t>
      </w:r>
      <w:r>
        <w:t>, I3v</w:t>
      </w:r>
      <w:r w:rsidR="00F40A25">
        <w:t>.</w:t>
      </w:r>
    </w:p>
  </w:footnote>
  <w:footnote w:id="115">
    <w:p w14:paraId="48F57381" w14:textId="7A6F525D" w:rsidR="00FB3F4F" w:rsidRDefault="00FB3F4F">
      <w:pPr>
        <w:pStyle w:val="FootnoteText"/>
      </w:pPr>
      <w:r>
        <w:rPr>
          <w:rStyle w:val="FootnoteReference"/>
        </w:rPr>
        <w:footnoteRef/>
      </w:r>
      <w:r>
        <w:t xml:space="preserve"> Daniel, </w:t>
      </w:r>
      <w:r>
        <w:rPr>
          <w:i/>
        </w:rPr>
        <w:t>Cleopatra</w:t>
      </w:r>
      <w:r>
        <w:t>, sig. I1r</w:t>
      </w:r>
      <w:r w:rsidR="00F40A25">
        <w:t>,</w:t>
      </w:r>
      <w:r>
        <w:t xml:space="preserve"> sig. I8r</w:t>
      </w:r>
      <w:r w:rsidR="00F40A25">
        <w:t>,</w:t>
      </w:r>
      <w:r w:rsidRPr="003F173E">
        <w:t xml:space="preserve"> </w:t>
      </w:r>
      <w:r>
        <w:t>sig. K6r</w:t>
      </w:r>
      <w:r w:rsidR="00F40A25">
        <w:t>.</w:t>
      </w:r>
    </w:p>
  </w:footnote>
  <w:footnote w:id="116">
    <w:p w14:paraId="454BF3C3" w14:textId="432FB6A6" w:rsidR="00FB3F4F" w:rsidRDefault="00FB3F4F">
      <w:pPr>
        <w:pStyle w:val="FootnoteText"/>
      </w:pPr>
      <w:r>
        <w:rPr>
          <w:rStyle w:val="FootnoteReference"/>
        </w:rPr>
        <w:footnoteRef/>
      </w:r>
      <w:r>
        <w:t xml:space="preserve"> Daniel, </w:t>
      </w:r>
      <w:r>
        <w:rPr>
          <w:i/>
        </w:rPr>
        <w:t>Cleopatra</w:t>
      </w:r>
      <w:r>
        <w:t>, sig. N5v</w:t>
      </w:r>
      <w:r w:rsidR="00F40A25">
        <w:t>.</w:t>
      </w:r>
    </w:p>
  </w:footnote>
  <w:footnote w:id="117">
    <w:p w14:paraId="544D65A0" w14:textId="187EDC7E" w:rsidR="00FB3F4F" w:rsidRDefault="00FB3F4F">
      <w:pPr>
        <w:pStyle w:val="FootnoteText"/>
      </w:pPr>
      <w:r>
        <w:rPr>
          <w:rStyle w:val="FootnoteReference"/>
        </w:rPr>
        <w:footnoteRef/>
      </w:r>
      <w:r>
        <w:t xml:space="preserve"> Daniel, </w:t>
      </w:r>
      <w:r>
        <w:rPr>
          <w:i/>
        </w:rPr>
        <w:t>Cleopatra</w:t>
      </w:r>
      <w:r>
        <w:t>, sig. I4r</w:t>
      </w:r>
      <w:r w:rsidR="00F40A25">
        <w:t>.</w:t>
      </w:r>
    </w:p>
  </w:footnote>
  <w:footnote w:id="118">
    <w:p w14:paraId="45E2C56D" w14:textId="55DD8D9D" w:rsidR="00FB3F4F" w:rsidRPr="00B75F36" w:rsidRDefault="00FB3F4F">
      <w:pPr>
        <w:pStyle w:val="FootnoteText"/>
      </w:pPr>
      <w:r>
        <w:rPr>
          <w:rStyle w:val="FootnoteReference"/>
        </w:rPr>
        <w:footnoteRef/>
      </w:r>
      <w:r>
        <w:t xml:space="preserve"> Daniel, </w:t>
      </w:r>
      <w:r>
        <w:rPr>
          <w:i/>
        </w:rPr>
        <w:t>Cleopatra</w:t>
      </w:r>
      <w:r>
        <w:t>, sig. I3r</w:t>
      </w:r>
      <w:r w:rsidR="00F40A25">
        <w:t>.</w:t>
      </w:r>
    </w:p>
  </w:footnote>
  <w:footnote w:id="119">
    <w:p w14:paraId="7E2C891D" w14:textId="2F8E9096" w:rsidR="00FB3F4F" w:rsidRDefault="00FB3F4F">
      <w:pPr>
        <w:pStyle w:val="FootnoteText"/>
      </w:pPr>
      <w:r>
        <w:rPr>
          <w:rStyle w:val="FootnoteReference"/>
        </w:rPr>
        <w:footnoteRef/>
      </w:r>
      <w:r>
        <w:t xml:space="preserve"> Daniel, </w:t>
      </w:r>
      <w:r>
        <w:rPr>
          <w:i/>
        </w:rPr>
        <w:t>Cleopatra</w:t>
      </w:r>
      <w:r>
        <w:t>, sig. I2v</w:t>
      </w:r>
      <w:r w:rsidR="00F40A25">
        <w:t>.</w:t>
      </w:r>
    </w:p>
  </w:footnote>
  <w:footnote w:id="120">
    <w:p w14:paraId="7182C06F" w14:textId="543659E3" w:rsidR="00FB3F4F" w:rsidRPr="005863B2" w:rsidRDefault="00FB3F4F">
      <w:pPr>
        <w:pStyle w:val="FootnoteText"/>
      </w:pPr>
      <w:r>
        <w:rPr>
          <w:rStyle w:val="FootnoteReference"/>
        </w:rPr>
        <w:footnoteRef/>
      </w:r>
      <w:r>
        <w:t xml:space="preserve"> Daniel, </w:t>
      </w:r>
      <w:r>
        <w:rPr>
          <w:i/>
        </w:rPr>
        <w:t>Cleopatra</w:t>
      </w:r>
      <w:r>
        <w:t>, sig. K2r</w:t>
      </w:r>
      <w:r w:rsidR="00F40A25">
        <w:t>.</w:t>
      </w:r>
    </w:p>
  </w:footnote>
  <w:footnote w:id="121">
    <w:p w14:paraId="61FE0E73" w14:textId="44233148" w:rsidR="00FB3F4F" w:rsidRDefault="00FB3F4F">
      <w:pPr>
        <w:pStyle w:val="FootnoteText"/>
      </w:pPr>
      <w:r>
        <w:rPr>
          <w:rStyle w:val="FootnoteReference"/>
        </w:rPr>
        <w:footnoteRef/>
      </w:r>
      <w:r>
        <w:t xml:space="preserve"> Daniel, </w:t>
      </w:r>
      <w:r>
        <w:rPr>
          <w:i/>
        </w:rPr>
        <w:t>Cleopatra</w:t>
      </w:r>
      <w:r>
        <w:t>, sig. M4r</w:t>
      </w:r>
      <w:r w:rsidR="00F40A25">
        <w:t>.</w:t>
      </w:r>
    </w:p>
  </w:footnote>
  <w:footnote w:id="122">
    <w:p w14:paraId="6AC2FD72" w14:textId="15266C81" w:rsidR="00FB3F4F" w:rsidRPr="00CA7ADC" w:rsidRDefault="00FB3F4F">
      <w:pPr>
        <w:pStyle w:val="FootnoteText"/>
      </w:pPr>
      <w:r>
        <w:rPr>
          <w:rStyle w:val="FootnoteReference"/>
        </w:rPr>
        <w:footnoteRef/>
      </w:r>
      <w:r>
        <w:t xml:space="preserve"> Daniel, </w:t>
      </w:r>
      <w:r>
        <w:rPr>
          <w:i/>
        </w:rPr>
        <w:t>Cleopatra</w:t>
      </w:r>
      <w:r>
        <w:t>, sig. K5v</w:t>
      </w:r>
      <w:r w:rsidR="00F40A25">
        <w:t>.</w:t>
      </w:r>
    </w:p>
  </w:footnote>
  <w:footnote w:id="123">
    <w:p w14:paraId="1EC9136F" w14:textId="7E1D4011" w:rsidR="00FB3F4F" w:rsidRDefault="00FB3F4F">
      <w:pPr>
        <w:pStyle w:val="FootnoteText"/>
      </w:pPr>
      <w:r>
        <w:rPr>
          <w:rStyle w:val="FootnoteReference"/>
        </w:rPr>
        <w:footnoteRef/>
      </w:r>
      <w:r>
        <w:t xml:space="preserve"> Daniel, </w:t>
      </w:r>
      <w:r>
        <w:rPr>
          <w:i/>
        </w:rPr>
        <w:t>Cleopatra</w:t>
      </w:r>
      <w:r>
        <w:t>, sig. N8r</w:t>
      </w:r>
      <w:r w:rsidR="00F40A25">
        <w:t>.</w:t>
      </w:r>
    </w:p>
  </w:footnote>
  <w:footnote w:id="124">
    <w:p w14:paraId="00E5D23E" w14:textId="3FCE7295" w:rsidR="00FB3F4F" w:rsidRPr="00706C4B" w:rsidRDefault="00FB3F4F">
      <w:pPr>
        <w:pStyle w:val="FootnoteText"/>
      </w:pPr>
      <w:r>
        <w:rPr>
          <w:rStyle w:val="FootnoteReference"/>
        </w:rPr>
        <w:footnoteRef/>
      </w:r>
      <w:r>
        <w:t xml:space="preserve"> Shakespeare, </w:t>
      </w:r>
      <w:r>
        <w:rPr>
          <w:i/>
        </w:rPr>
        <w:t>Antony and Cleopatra</w:t>
      </w:r>
      <w:r>
        <w:t>, I.ii.144-</w:t>
      </w:r>
      <w:r w:rsidR="00F4787A">
        <w:t>8</w:t>
      </w:r>
      <w:r w:rsidR="00F40A25">
        <w:t>.</w:t>
      </w:r>
    </w:p>
  </w:footnote>
  <w:footnote w:id="125">
    <w:p w14:paraId="0E5D045D" w14:textId="3A3D1408" w:rsidR="00FB3F4F" w:rsidRDefault="00FB3F4F">
      <w:pPr>
        <w:pStyle w:val="FootnoteText"/>
      </w:pPr>
      <w:r>
        <w:rPr>
          <w:rStyle w:val="FootnoteReference"/>
        </w:rPr>
        <w:footnoteRef/>
      </w:r>
      <w:r>
        <w:t xml:space="preserve"> Shakespeare, </w:t>
      </w:r>
      <w:r>
        <w:rPr>
          <w:i/>
        </w:rPr>
        <w:t>Antony and Cleopatra</w:t>
      </w:r>
      <w:r>
        <w:t>, II.ii.226-31</w:t>
      </w:r>
      <w:r w:rsidR="00F40A25">
        <w:t>.</w:t>
      </w:r>
    </w:p>
  </w:footnote>
  <w:footnote w:id="126">
    <w:p w14:paraId="30C79E50" w14:textId="07C8D2D8" w:rsidR="00FB3F4F" w:rsidRDefault="00FB3F4F">
      <w:pPr>
        <w:pStyle w:val="FootnoteText"/>
      </w:pPr>
      <w:r>
        <w:rPr>
          <w:rStyle w:val="FootnoteReference"/>
        </w:rPr>
        <w:footnoteRef/>
      </w:r>
      <w:r>
        <w:t xml:space="preserve"> Shakespeare, </w:t>
      </w:r>
      <w:r>
        <w:rPr>
          <w:i/>
        </w:rPr>
        <w:t>Antony and Cleopatra</w:t>
      </w:r>
      <w:r>
        <w:t>, II.ii.235-9</w:t>
      </w:r>
      <w:r w:rsidR="00F40A25">
        <w:t>.</w:t>
      </w:r>
    </w:p>
  </w:footnote>
  <w:footnote w:id="127">
    <w:p w14:paraId="4D3A0ED1" w14:textId="765A785F" w:rsidR="00FB3F4F" w:rsidRDefault="00FB3F4F">
      <w:pPr>
        <w:pStyle w:val="FootnoteText"/>
      </w:pPr>
      <w:r>
        <w:rPr>
          <w:rStyle w:val="FootnoteReference"/>
        </w:rPr>
        <w:footnoteRef/>
      </w:r>
      <w:r>
        <w:t xml:space="preserve"> Shakespeare, </w:t>
      </w:r>
      <w:r>
        <w:rPr>
          <w:i/>
        </w:rPr>
        <w:t>Antony and Cleopatra</w:t>
      </w:r>
      <w:r>
        <w:t>, II.ii.245-6</w:t>
      </w:r>
      <w:r w:rsidR="00F40A25">
        <w:t>.</w:t>
      </w:r>
    </w:p>
  </w:footnote>
  <w:footnote w:id="128">
    <w:p w14:paraId="668ACB96" w14:textId="2E510C88" w:rsidR="00FB3F4F" w:rsidRDefault="00FB3F4F" w:rsidP="007525B5">
      <w:pPr>
        <w:pStyle w:val="FootnoteText"/>
      </w:pPr>
      <w:r>
        <w:rPr>
          <w:rStyle w:val="FootnoteReference"/>
        </w:rPr>
        <w:footnoteRef/>
      </w:r>
      <w:r>
        <w:t xml:space="preserve"> Shakespeare, </w:t>
      </w:r>
      <w:r>
        <w:rPr>
          <w:i/>
        </w:rPr>
        <w:t>Antony and Cleopatra</w:t>
      </w:r>
      <w:r>
        <w:t>, V.ii.279</w:t>
      </w:r>
      <w:r w:rsidR="00F40A25">
        <w:t>.</w:t>
      </w:r>
    </w:p>
  </w:footnote>
  <w:footnote w:id="129">
    <w:p w14:paraId="5DC06642" w14:textId="7018B44F" w:rsidR="00FB3F4F" w:rsidRDefault="00FB3F4F">
      <w:pPr>
        <w:pStyle w:val="FootnoteText"/>
      </w:pPr>
      <w:r>
        <w:rPr>
          <w:rStyle w:val="FootnoteReference"/>
        </w:rPr>
        <w:footnoteRef/>
      </w:r>
      <w:r>
        <w:t xml:space="preserve"> Shakespeare, </w:t>
      </w:r>
      <w:r>
        <w:rPr>
          <w:i/>
        </w:rPr>
        <w:t>Antony and Cleopatra</w:t>
      </w:r>
      <w:r>
        <w:t>, V.ii.238-40</w:t>
      </w:r>
      <w:r w:rsidR="00F40A25">
        <w:t>.</w:t>
      </w:r>
    </w:p>
  </w:footnote>
  <w:footnote w:id="130">
    <w:p w14:paraId="53898B69" w14:textId="514EE310" w:rsidR="00FB3F4F" w:rsidRDefault="00FB3F4F">
      <w:pPr>
        <w:pStyle w:val="FootnoteText"/>
      </w:pPr>
      <w:r>
        <w:rPr>
          <w:rStyle w:val="FootnoteReference"/>
        </w:rPr>
        <w:footnoteRef/>
      </w:r>
      <w:r>
        <w:t xml:space="preserve"> Miles, </w:t>
      </w:r>
      <w:r>
        <w:rPr>
          <w:i/>
        </w:rPr>
        <w:t>Shakespeare and the Constant Romans</w:t>
      </w:r>
      <w:r>
        <w:t>, p</w:t>
      </w:r>
      <w:r w:rsidR="00105DE6">
        <w:t>.</w:t>
      </w:r>
      <w:r w:rsidR="002C11A3">
        <w:t xml:space="preserve"> </w:t>
      </w:r>
      <w:r>
        <w:t>187</w:t>
      </w:r>
      <w:r w:rsidR="00F40A25">
        <w:t>.</w:t>
      </w:r>
    </w:p>
  </w:footnote>
  <w:footnote w:id="131">
    <w:p w14:paraId="78AA54C7" w14:textId="09DC6B87" w:rsidR="00FB3F4F" w:rsidRDefault="00FB3F4F">
      <w:pPr>
        <w:pStyle w:val="FootnoteText"/>
      </w:pPr>
      <w:r>
        <w:rPr>
          <w:rStyle w:val="FootnoteReference"/>
        </w:rPr>
        <w:footnoteRef/>
      </w:r>
      <w:r>
        <w:t xml:space="preserve"> Shakespeare, </w:t>
      </w:r>
      <w:r>
        <w:rPr>
          <w:i/>
        </w:rPr>
        <w:t>Antony and Cleopatra</w:t>
      </w:r>
      <w:r>
        <w:t>, V.ii.279-312</w:t>
      </w:r>
      <w:r w:rsidR="00F40A25">
        <w:t>.</w:t>
      </w:r>
    </w:p>
  </w:footnote>
  <w:footnote w:id="132">
    <w:p w14:paraId="15C76082" w14:textId="1086439C" w:rsidR="00FB3F4F" w:rsidRPr="00F40A25" w:rsidRDefault="00FB3F4F">
      <w:pPr>
        <w:pStyle w:val="FootnoteText"/>
      </w:pPr>
      <w:r w:rsidRPr="00F46BAD">
        <w:rPr>
          <w:rStyle w:val="FootnoteReference"/>
        </w:rPr>
        <w:footnoteRef/>
      </w:r>
      <w:r w:rsidRPr="00F46BAD">
        <w:t xml:space="preserve"> Shakespeare, </w:t>
      </w:r>
      <w:r w:rsidRPr="00F46BAD">
        <w:rPr>
          <w:i/>
        </w:rPr>
        <w:t>Julius Caesar,</w:t>
      </w:r>
      <w:r w:rsidRPr="00F46BAD">
        <w:t xml:space="preserve"> V.v.50-1</w:t>
      </w:r>
      <w:r w:rsidR="00F40A25">
        <w:t>.</w:t>
      </w:r>
    </w:p>
  </w:footnote>
  <w:footnote w:id="133">
    <w:p w14:paraId="72C5E76A" w14:textId="1625838A" w:rsidR="00FB3F4F" w:rsidRDefault="00FB3F4F">
      <w:pPr>
        <w:pStyle w:val="FootnoteText"/>
      </w:pPr>
      <w:r>
        <w:rPr>
          <w:rStyle w:val="FootnoteReference"/>
        </w:rPr>
        <w:footnoteRef/>
      </w:r>
      <w:r>
        <w:t xml:space="preserve"> Shakespeare, </w:t>
      </w:r>
      <w:r>
        <w:rPr>
          <w:i/>
        </w:rPr>
        <w:t>Antony and Cleopatra</w:t>
      </w:r>
      <w:r>
        <w:t>, V.ii.312</w:t>
      </w:r>
      <w:r w:rsidR="00F40A25">
        <w:t>.</w:t>
      </w:r>
    </w:p>
  </w:footnote>
  <w:footnote w:id="134">
    <w:p w14:paraId="2F01EB6D" w14:textId="03950BBB" w:rsidR="00FB3F4F" w:rsidRDefault="00FB3F4F">
      <w:pPr>
        <w:pStyle w:val="FootnoteText"/>
      </w:pPr>
      <w:r>
        <w:rPr>
          <w:rStyle w:val="FootnoteReference"/>
        </w:rPr>
        <w:footnoteRef/>
      </w:r>
      <w:r>
        <w:t xml:space="preserve"> Shakespeare, </w:t>
      </w:r>
      <w:r>
        <w:rPr>
          <w:i/>
        </w:rPr>
        <w:t>Antony and Cleopatra</w:t>
      </w:r>
      <w:r>
        <w:t>, III.x.10-1</w:t>
      </w:r>
      <w:r w:rsidR="00662C9D">
        <w:t>1</w:t>
      </w:r>
      <w:r w:rsidR="00F40A25">
        <w:t>,</w:t>
      </w:r>
      <w:r>
        <w:t xml:space="preserve"> 15</w:t>
      </w:r>
      <w:r w:rsidR="00F40A25">
        <w:t>.</w:t>
      </w:r>
    </w:p>
  </w:footnote>
  <w:footnote w:id="135">
    <w:p w14:paraId="256A8903" w14:textId="4C43BE8A" w:rsidR="00FB3F4F" w:rsidRDefault="00FB3F4F">
      <w:pPr>
        <w:pStyle w:val="FootnoteText"/>
      </w:pPr>
      <w:r>
        <w:rPr>
          <w:rStyle w:val="FootnoteReference"/>
        </w:rPr>
        <w:footnoteRef/>
      </w:r>
      <w:r>
        <w:t xml:space="preserve"> Shakespeare, </w:t>
      </w:r>
      <w:r>
        <w:rPr>
          <w:i/>
        </w:rPr>
        <w:t>Antony and Cleopatra</w:t>
      </w:r>
      <w:r>
        <w:t>, I.ii.130-96</w:t>
      </w:r>
      <w:r w:rsidR="00F40A25">
        <w:t>.</w:t>
      </w:r>
    </w:p>
  </w:footnote>
  <w:footnote w:id="136">
    <w:p w14:paraId="0D702ED3" w14:textId="127FCF63" w:rsidR="00FB3F4F" w:rsidRDefault="00FB3F4F">
      <w:pPr>
        <w:pStyle w:val="FootnoteText"/>
      </w:pPr>
      <w:r>
        <w:rPr>
          <w:rStyle w:val="FootnoteReference"/>
        </w:rPr>
        <w:footnoteRef/>
      </w:r>
      <w:r>
        <w:t xml:space="preserve"> Shakespeare, </w:t>
      </w:r>
      <w:r>
        <w:rPr>
          <w:i/>
        </w:rPr>
        <w:t>Antony and Cleopatra</w:t>
      </w:r>
      <w:r>
        <w:t>, III.xiii.7-8</w:t>
      </w:r>
      <w:r w:rsidR="00F40A25">
        <w:t>.</w:t>
      </w:r>
    </w:p>
  </w:footnote>
  <w:footnote w:id="137">
    <w:p w14:paraId="182B7E6B" w14:textId="4AD79689" w:rsidR="00FB3F4F" w:rsidRPr="00DA160D" w:rsidRDefault="00FB3F4F">
      <w:pPr>
        <w:pStyle w:val="FootnoteText"/>
      </w:pPr>
      <w:r>
        <w:rPr>
          <w:rStyle w:val="FootnoteReference"/>
        </w:rPr>
        <w:footnoteRef/>
      </w:r>
      <w:r>
        <w:t xml:space="preserve"> M. Nyquist, ‘“Profuse, proud Cleopatra”</w:t>
      </w:r>
      <w:r w:rsidR="00203C08">
        <w:t>’</w:t>
      </w:r>
      <w:r>
        <w:t>, pp. 97-8</w:t>
      </w:r>
      <w:r w:rsidR="00F40A25">
        <w:t>.</w:t>
      </w:r>
    </w:p>
  </w:footnote>
  <w:footnote w:id="138">
    <w:p w14:paraId="26F00879" w14:textId="20B3F360" w:rsidR="00FB3F4F" w:rsidRPr="00FA6C8E" w:rsidRDefault="00FB3F4F">
      <w:pPr>
        <w:pStyle w:val="FootnoteText"/>
        <w:rPr>
          <w:highlight w:val="yellow"/>
        </w:rPr>
      </w:pPr>
      <w:r w:rsidRPr="00FA6C8E">
        <w:rPr>
          <w:rStyle w:val="FootnoteReference"/>
        </w:rPr>
        <w:footnoteRef/>
      </w:r>
      <w:r w:rsidRPr="00FA6C8E">
        <w:t xml:space="preserve"> </w:t>
      </w:r>
      <w:proofErr w:type="spellStart"/>
      <w:r w:rsidRPr="00FA6C8E">
        <w:t>F</w:t>
      </w:r>
      <w:r w:rsidR="006D5077">
        <w:t>ulke</w:t>
      </w:r>
      <w:proofErr w:type="spellEnd"/>
      <w:r w:rsidRPr="00FA6C8E">
        <w:t xml:space="preserve"> </w:t>
      </w:r>
      <w:proofErr w:type="spellStart"/>
      <w:r w:rsidRPr="00FA6C8E">
        <w:t>Greville</w:t>
      </w:r>
      <w:proofErr w:type="spellEnd"/>
      <w:r w:rsidRPr="00FA6C8E">
        <w:t xml:space="preserve">, ‘A Dedication to Sir Philip Sidney’ in J. Gouws (ed.), </w:t>
      </w:r>
      <w:r w:rsidRPr="00FA6C8E">
        <w:rPr>
          <w:i/>
        </w:rPr>
        <w:t xml:space="preserve">The Prose Works of </w:t>
      </w:r>
      <w:proofErr w:type="spellStart"/>
      <w:r w:rsidRPr="00FA6C8E">
        <w:rPr>
          <w:i/>
        </w:rPr>
        <w:t>Fulke</w:t>
      </w:r>
      <w:proofErr w:type="spellEnd"/>
      <w:r w:rsidRPr="00FA6C8E">
        <w:rPr>
          <w:i/>
        </w:rPr>
        <w:t xml:space="preserve"> </w:t>
      </w:r>
      <w:proofErr w:type="spellStart"/>
      <w:r w:rsidRPr="00FA6C8E">
        <w:rPr>
          <w:i/>
        </w:rPr>
        <w:t>Greville</w:t>
      </w:r>
      <w:proofErr w:type="spellEnd"/>
      <w:r w:rsidRPr="00FA6C8E">
        <w:rPr>
          <w:i/>
        </w:rPr>
        <w:t>, Lord Brooke</w:t>
      </w:r>
      <w:r w:rsidRPr="00FA6C8E">
        <w:t xml:space="preserve"> (Oxford, 1986), p. 93</w:t>
      </w:r>
      <w:r w:rsidR="00F40A25">
        <w:t>.</w:t>
      </w:r>
    </w:p>
  </w:footnote>
  <w:footnote w:id="139">
    <w:p w14:paraId="1989799A" w14:textId="00C32760" w:rsidR="00FB3F4F" w:rsidRDefault="00FB3F4F">
      <w:pPr>
        <w:pStyle w:val="FootnoteText"/>
      </w:pPr>
      <w:r w:rsidRPr="00B31C57">
        <w:rPr>
          <w:rStyle w:val="FootnoteReference"/>
        </w:rPr>
        <w:footnoteRef/>
      </w:r>
      <w:r w:rsidRPr="00B31C57">
        <w:t xml:space="preserve"> See the debate in Castiglione, </w:t>
      </w:r>
      <w:r w:rsidRPr="00B31C57">
        <w:rPr>
          <w:rFonts w:cs="Times New Roman"/>
          <w:i/>
        </w:rPr>
        <w:t xml:space="preserve">The </w:t>
      </w:r>
      <w:proofErr w:type="spellStart"/>
      <w:r>
        <w:rPr>
          <w:rFonts w:cs="Times New Roman"/>
          <w:i/>
        </w:rPr>
        <w:t>courtyer</w:t>
      </w:r>
      <w:proofErr w:type="spellEnd"/>
      <w:r w:rsidRPr="00B31C57">
        <w:rPr>
          <w:rFonts w:cs="Times New Roman"/>
        </w:rPr>
        <w:t>,</w:t>
      </w:r>
      <w:r w:rsidRPr="00B31C57">
        <w:t xml:space="preserve"> Book III</w:t>
      </w:r>
      <w:r w:rsidR="00F40A25">
        <w:t>.</w:t>
      </w:r>
    </w:p>
  </w:footnote>
  <w:footnote w:id="140">
    <w:p w14:paraId="7270659D" w14:textId="60402424" w:rsidR="00CD23AB" w:rsidRPr="007D147B" w:rsidRDefault="00CD23AB">
      <w:pPr>
        <w:pStyle w:val="FootnoteText"/>
      </w:pPr>
      <w:r>
        <w:rPr>
          <w:rStyle w:val="FootnoteReference"/>
        </w:rPr>
        <w:footnoteRef/>
      </w:r>
      <w:r>
        <w:t xml:space="preserve"> </w:t>
      </w:r>
      <w:r w:rsidR="00C51285">
        <w:t>Richards, ‘Love and a Female Monarch</w:t>
      </w:r>
      <w:r w:rsidR="00065E6F">
        <w:t>’</w:t>
      </w:r>
      <w:r w:rsidR="00A03705">
        <w:rPr>
          <w:color w:val="000000"/>
          <w:szCs w:val="18"/>
        </w:rPr>
        <w:t>, pp. 1</w:t>
      </w:r>
      <w:r w:rsidR="006B71D9">
        <w:rPr>
          <w:color w:val="000000"/>
          <w:szCs w:val="18"/>
        </w:rPr>
        <w:t>56-</w:t>
      </w:r>
      <w:r w:rsidR="00D12932">
        <w:rPr>
          <w:color w:val="000000"/>
          <w:szCs w:val="18"/>
        </w:rPr>
        <w:t>60</w:t>
      </w:r>
      <w:r w:rsidR="00A53062">
        <w:rPr>
          <w:color w:val="000000"/>
          <w:szCs w:val="18"/>
        </w:rPr>
        <w:t>.</w:t>
      </w:r>
    </w:p>
  </w:footnote>
  <w:footnote w:id="141">
    <w:p w14:paraId="14A00804" w14:textId="377210C5" w:rsidR="00FB3F4F" w:rsidRPr="00F22BE1" w:rsidRDefault="00FB3F4F">
      <w:pPr>
        <w:pStyle w:val="FootnoteText"/>
      </w:pPr>
      <w:r>
        <w:rPr>
          <w:rStyle w:val="FootnoteReference"/>
        </w:rPr>
        <w:footnoteRef/>
      </w:r>
      <w:r>
        <w:t xml:space="preserve"> Elizabeth I, </w:t>
      </w:r>
      <w:r>
        <w:rPr>
          <w:i/>
        </w:rPr>
        <w:t>Collected Works</w:t>
      </w:r>
      <w:r>
        <w:t>, ed. L. Marcus, J. Mueller and M.B. Rose (Chicago, 2000), p. 326</w:t>
      </w:r>
      <w:r w:rsidR="007E3F10">
        <w:t>;</w:t>
      </w:r>
      <w:r>
        <w:t xml:space="preserve"> McLaren, </w:t>
      </w:r>
      <w:r>
        <w:rPr>
          <w:i/>
        </w:rPr>
        <w:t>Political Culture in the Reign of Elizabeth I</w:t>
      </w:r>
      <w:r>
        <w:t>, p. 44</w:t>
      </w:r>
      <w:r w:rsidR="00F40A25">
        <w:t>.</w:t>
      </w:r>
    </w:p>
  </w:footnote>
  <w:footnote w:id="142">
    <w:p w14:paraId="65555994" w14:textId="6F0E5BD4" w:rsidR="00FB3F4F" w:rsidRDefault="00FB3F4F">
      <w:pPr>
        <w:pStyle w:val="FootnoteText"/>
      </w:pPr>
      <w:r>
        <w:rPr>
          <w:rStyle w:val="FootnoteReference"/>
        </w:rPr>
        <w:footnoteRef/>
      </w:r>
      <w:r>
        <w:t xml:space="preserve"> Elizabeth I, </w:t>
      </w:r>
      <w:r>
        <w:rPr>
          <w:i/>
        </w:rPr>
        <w:t>Collected Works</w:t>
      </w:r>
      <w:r>
        <w:t>, p. 326</w:t>
      </w:r>
      <w:r w:rsidR="00F40A25">
        <w:t>.</w:t>
      </w:r>
    </w:p>
  </w:footnote>
  <w:footnote w:id="143">
    <w:p w14:paraId="6FA2673B" w14:textId="5D8A5AE4" w:rsidR="00FB3F4F" w:rsidRPr="002649D8" w:rsidRDefault="00FB3F4F">
      <w:pPr>
        <w:pStyle w:val="FootnoteText"/>
      </w:pPr>
      <w:r>
        <w:rPr>
          <w:rStyle w:val="FootnoteReference"/>
        </w:rPr>
        <w:footnoteRef/>
      </w:r>
      <w:r>
        <w:t xml:space="preserve"> </w:t>
      </w:r>
      <w:r w:rsidR="008E01D3">
        <w:t xml:space="preserve">P. Hammer, </w:t>
      </w:r>
      <w:r w:rsidR="008E01D3">
        <w:rPr>
          <w:i/>
        </w:rPr>
        <w:t>The Polarization of Elizabethan Politics: The Political Career of Robert Devereux, 2</w:t>
      </w:r>
      <w:r w:rsidR="008E01D3" w:rsidRPr="008E01D3">
        <w:rPr>
          <w:i/>
          <w:vertAlign w:val="superscript"/>
        </w:rPr>
        <w:t>nd</w:t>
      </w:r>
      <w:r w:rsidR="008E01D3">
        <w:rPr>
          <w:i/>
        </w:rPr>
        <w:t xml:space="preserve"> Earl of Essex</w:t>
      </w:r>
      <w:r w:rsidR="002649D8">
        <w:rPr>
          <w:i/>
        </w:rPr>
        <w:t>, 1585-1597</w:t>
      </w:r>
      <w:r w:rsidR="002649D8">
        <w:t xml:space="preserve"> (Cambridge, 1999), p. 395</w:t>
      </w:r>
    </w:p>
  </w:footnote>
  <w:footnote w:id="144">
    <w:p w14:paraId="6D843C8A" w14:textId="73198E8D" w:rsidR="00FB3F4F" w:rsidRPr="00FF0A3D" w:rsidRDefault="00FB3F4F">
      <w:pPr>
        <w:pStyle w:val="FootnoteText"/>
      </w:pPr>
      <w:r>
        <w:rPr>
          <w:rStyle w:val="FootnoteReference"/>
        </w:rPr>
        <w:footnoteRef/>
      </w:r>
      <w:r>
        <w:t xml:space="preserve"> </w:t>
      </w:r>
      <w:proofErr w:type="spellStart"/>
      <w:r>
        <w:t>Gajda</w:t>
      </w:r>
      <w:proofErr w:type="spellEnd"/>
      <w:r>
        <w:t xml:space="preserve">, </w:t>
      </w:r>
      <w:r>
        <w:rPr>
          <w:i/>
        </w:rPr>
        <w:t>The Earl of Essex</w:t>
      </w:r>
      <w:r>
        <w:t>, p</w:t>
      </w:r>
      <w:r w:rsidR="00EF7A4B">
        <w:t>p</w:t>
      </w:r>
      <w:r>
        <w:t>. 153-159</w:t>
      </w:r>
      <w:r w:rsidR="00F40A25">
        <w:t>.</w:t>
      </w:r>
    </w:p>
  </w:footnote>
  <w:footnote w:id="145">
    <w:p w14:paraId="2DDE5263" w14:textId="343677B5" w:rsidR="00FB3F4F" w:rsidRPr="00CD0F84" w:rsidRDefault="00FB3F4F" w:rsidP="00EF6552">
      <w:pPr>
        <w:pStyle w:val="FootnoteText"/>
      </w:pPr>
      <w:r>
        <w:rPr>
          <w:rStyle w:val="FootnoteReference"/>
        </w:rPr>
        <w:footnoteRef/>
      </w:r>
      <w:r>
        <w:t xml:space="preserve"> S. Doran and P. </w:t>
      </w:r>
      <w:proofErr w:type="spellStart"/>
      <w:r>
        <w:t>Kewes</w:t>
      </w:r>
      <w:proofErr w:type="spellEnd"/>
      <w:r>
        <w:t xml:space="preserve">, ‘Introduction: a historiographical perspective’ in </w:t>
      </w:r>
      <w:r>
        <w:rPr>
          <w:i/>
        </w:rPr>
        <w:t>Doubtful and Dangerous</w:t>
      </w:r>
      <w:r>
        <w:t>, pp. 3-6</w:t>
      </w:r>
      <w:r w:rsidR="00F40A25">
        <w:t>.</w:t>
      </w:r>
    </w:p>
  </w:footnote>
  <w:footnote w:id="146">
    <w:p w14:paraId="7A12CCFA" w14:textId="41A6B9E6" w:rsidR="00FB3F4F" w:rsidRPr="005731B8" w:rsidRDefault="00FB3F4F">
      <w:pPr>
        <w:pStyle w:val="FootnoteText"/>
      </w:pPr>
      <w:r>
        <w:rPr>
          <w:rStyle w:val="FootnoteReference"/>
        </w:rPr>
        <w:footnoteRef/>
      </w:r>
      <w:r>
        <w:t xml:space="preserve"> Elizabeth I, </w:t>
      </w:r>
      <w:r>
        <w:rPr>
          <w:i/>
        </w:rPr>
        <w:t>Collected Works</w:t>
      </w:r>
      <w:r>
        <w:t>, p.168</w:t>
      </w:r>
      <w:r w:rsidR="00F40A25">
        <w:t>.</w:t>
      </w:r>
    </w:p>
  </w:footnote>
  <w:footnote w:id="147">
    <w:p w14:paraId="6821279F" w14:textId="625047BC" w:rsidR="00FB3F4F" w:rsidRPr="005259B9" w:rsidRDefault="00FB3F4F">
      <w:pPr>
        <w:pStyle w:val="FootnoteText"/>
      </w:pPr>
      <w:r>
        <w:rPr>
          <w:rStyle w:val="FootnoteReference"/>
        </w:rPr>
        <w:footnoteRef/>
      </w:r>
      <w:r>
        <w:t xml:space="preserve"> D. </w:t>
      </w:r>
      <w:proofErr w:type="spellStart"/>
      <w:r>
        <w:t>Womersely</w:t>
      </w:r>
      <w:proofErr w:type="spellEnd"/>
      <w:r>
        <w:t xml:space="preserve">, ‘Sir Henry Savile’s Translation of Tacitus’, </w:t>
      </w:r>
      <w:r>
        <w:rPr>
          <w:i/>
        </w:rPr>
        <w:t>Review of English Studies</w:t>
      </w:r>
      <w:r>
        <w:t>, 42/167 (1991), pp. 341-2</w:t>
      </w:r>
      <w:r w:rsidR="00614D9D">
        <w:t>;</w:t>
      </w:r>
      <w:r>
        <w:t xml:space="preserve"> </w:t>
      </w:r>
      <w:proofErr w:type="spellStart"/>
      <w:r>
        <w:t>Gajda</w:t>
      </w:r>
      <w:proofErr w:type="spellEnd"/>
      <w:r>
        <w:t xml:space="preserve">, </w:t>
      </w:r>
      <w:r>
        <w:rPr>
          <w:i/>
        </w:rPr>
        <w:t>The Earl of Essex</w:t>
      </w:r>
      <w:r>
        <w:t>, pp. 20-3</w:t>
      </w:r>
      <w:r w:rsidR="00614D9D">
        <w:t>;</w:t>
      </w:r>
      <w:r>
        <w:t xml:space="preserve"> </w:t>
      </w:r>
      <w:proofErr w:type="spellStart"/>
      <w:r>
        <w:t>Hannay</w:t>
      </w:r>
      <w:proofErr w:type="spellEnd"/>
      <w:r>
        <w:t xml:space="preserve">, </w:t>
      </w:r>
      <w:r>
        <w:rPr>
          <w:i/>
        </w:rPr>
        <w:t>Philip’s Phoenix</w:t>
      </w:r>
      <w:r>
        <w:t>, pp. 126-7</w:t>
      </w:r>
      <w:r w:rsidR="00F40A25">
        <w:t>.</w:t>
      </w:r>
    </w:p>
  </w:footnote>
  <w:footnote w:id="148">
    <w:p w14:paraId="7208C362" w14:textId="4E641223" w:rsidR="00FB3F4F" w:rsidRPr="005259B9" w:rsidRDefault="00FB3F4F">
      <w:pPr>
        <w:pStyle w:val="FootnoteText"/>
      </w:pPr>
      <w:r>
        <w:rPr>
          <w:rStyle w:val="FootnoteReference"/>
        </w:rPr>
        <w:footnoteRef/>
      </w:r>
      <w:r>
        <w:t xml:space="preserve"> Lamb, </w:t>
      </w:r>
      <w:r>
        <w:rPr>
          <w:i/>
        </w:rPr>
        <w:t>Gender and Authorship</w:t>
      </w:r>
      <w:r>
        <w:t>, p. 16</w:t>
      </w:r>
      <w:r w:rsidR="00F40A25">
        <w:t>,</w:t>
      </w:r>
      <w:r>
        <w:t xml:space="preserve"> pp. 131-3</w:t>
      </w:r>
      <w:r w:rsidR="00F40A2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1FC"/>
    <w:multiLevelType w:val="hybridMultilevel"/>
    <w:tmpl w:val="778A527C"/>
    <w:lvl w:ilvl="0" w:tplc="2CA6292E">
      <w:start w:val="1"/>
      <w:numFmt w:val="bullet"/>
      <w:lvlText w:val=""/>
      <w:lvlJc w:val="left"/>
      <w:pPr>
        <w:ind w:left="1080" w:hanging="360"/>
      </w:pPr>
      <w:rPr>
        <w:rFonts w:ascii="Symbol" w:hAnsi="Symbol" w:hint="default"/>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CC860CC"/>
    <w:multiLevelType w:val="hybridMultilevel"/>
    <w:tmpl w:val="6BD66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604E5"/>
    <w:multiLevelType w:val="hybridMultilevel"/>
    <w:tmpl w:val="A7084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97"/>
    <w:rsid w:val="00000835"/>
    <w:rsid w:val="00001440"/>
    <w:rsid w:val="0000231B"/>
    <w:rsid w:val="00002814"/>
    <w:rsid w:val="00002825"/>
    <w:rsid w:val="00002A14"/>
    <w:rsid w:val="000032E5"/>
    <w:rsid w:val="00003D65"/>
    <w:rsid w:val="00005E32"/>
    <w:rsid w:val="00007C0F"/>
    <w:rsid w:val="00007D2F"/>
    <w:rsid w:val="00011BFD"/>
    <w:rsid w:val="000124D6"/>
    <w:rsid w:val="00013B2F"/>
    <w:rsid w:val="000165E6"/>
    <w:rsid w:val="000170AD"/>
    <w:rsid w:val="00017342"/>
    <w:rsid w:val="000177EF"/>
    <w:rsid w:val="000209E2"/>
    <w:rsid w:val="00022835"/>
    <w:rsid w:val="00023395"/>
    <w:rsid w:val="00024203"/>
    <w:rsid w:val="00024F95"/>
    <w:rsid w:val="00026988"/>
    <w:rsid w:val="000275D1"/>
    <w:rsid w:val="00031BFE"/>
    <w:rsid w:val="00032E2A"/>
    <w:rsid w:val="0003527D"/>
    <w:rsid w:val="00035D11"/>
    <w:rsid w:val="00036CC3"/>
    <w:rsid w:val="00037578"/>
    <w:rsid w:val="00037BFD"/>
    <w:rsid w:val="00040401"/>
    <w:rsid w:val="00040F7D"/>
    <w:rsid w:val="00041AC6"/>
    <w:rsid w:val="000433C5"/>
    <w:rsid w:val="00043B2D"/>
    <w:rsid w:val="00044D94"/>
    <w:rsid w:val="00045254"/>
    <w:rsid w:val="0004624C"/>
    <w:rsid w:val="0004663D"/>
    <w:rsid w:val="000466C7"/>
    <w:rsid w:val="00050BF1"/>
    <w:rsid w:val="0005277F"/>
    <w:rsid w:val="000527DC"/>
    <w:rsid w:val="00052B0E"/>
    <w:rsid w:val="0005330A"/>
    <w:rsid w:val="00053B0F"/>
    <w:rsid w:val="00054980"/>
    <w:rsid w:val="000608FC"/>
    <w:rsid w:val="00060DA3"/>
    <w:rsid w:val="0006129B"/>
    <w:rsid w:val="00062C78"/>
    <w:rsid w:val="00063433"/>
    <w:rsid w:val="00063533"/>
    <w:rsid w:val="00064A2C"/>
    <w:rsid w:val="00065267"/>
    <w:rsid w:val="00065E6F"/>
    <w:rsid w:val="00067854"/>
    <w:rsid w:val="00067DC0"/>
    <w:rsid w:val="0007208F"/>
    <w:rsid w:val="00074603"/>
    <w:rsid w:val="0007477B"/>
    <w:rsid w:val="00075419"/>
    <w:rsid w:val="000824FE"/>
    <w:rsid w:val="0008266C"/>
    <w:rsid w:val="00082E6A"/>
    <w:rsid w:val="00082EE6"/>
    <w:rsid w:val="000853EE"/>
    <w:rsid w:val="00085FB4"/>
    <w:rsid w:val="000921E3"/>
    <w:rsid w:val="00094711"/>
    <w:rsid w:val="000950AC"/>
    <w:rsid w:val="0009534F"/>
    <w:rsid w:val="00095C3A"/>
    <w:rsid w:val="00095E99"/>
    <w:rsid w:val="00096FF8"/>
    <w:rsid w:val="000A1CAD"/>
    <w:rsid w:val="000A3F7A"/>
    <w:rsid w:val="000A44B5"/>
    <w:rsid w:val="000A6F7F"/>
    <w:rsid w:val="000B11DF"/>
    <w:rsid w:val="000B23D5"/>
    <w:rsid w:val="000B2996"/>
    <w:rsid w:val="000B3DED"/>
    <w:rsid w:val="000B69CF"/>
    <w:rsid w:val="000B6ADA"/>
    <w:rsid w:val="000B6EBA"/>
    <w:rsid w:val="000B7718"/>
    <w:rsid w:val="000C2223"/>
    <w:rsid w:val="000C4EFA"/>
    <w:rsid w:val="000C5102"/>
    <w:rsid w:val="000C61E0"/>
    <w:rsid w:val="000C65C5"/>
    <w:rsid w:val="000D54AD"/>
    <w:rsid w:val="000D6333"/>
    <w:rsid w:val="000D66E0"/>
    <w:rsid w:val="000D6B4D"/>
    <w:rsid w:val="000D71ED"/>
    <w:rsid w:val="000D78A0"/>
    <w:rsid w:val="000D7E6E"/>
    <w:rsid w:val="000E3559"/>
    <w:rsid w:val="000E3741"/>
    <w:rsid w:val="000E3C64"/>
    <w:rsid w:val="000E4A11"/>
    <w:rsid w:val="000E7D56"/>
    <w:rsid w:val="000F1B8D"/>
    <w:rsid w:val="000F2139"/>
    <w:rsid w:val="000F3212"/>
    <w:rsid w:val="000F5FE5"/>
    <w:rsid w:val="000F6ED3"/>
    <w:rsid w:val="001016EF"/>
    <w:rsid w:val="00102437"/>
    <w:rsid w:val="00102B9A"/>
    <w:rsid w:val="00103B7F"/>
    <w:rsid w:val="00105DE6"/>
    <w:rsid w:val="00110CB8"/>
    <w:rsid w:val="00111469"/>
    <w:rsid w:val="0011416F"/>
    <w:rsid w:val="00114ABD"/>
    <w:rsid w:val="00121E98"/>
    <w:rsid w:val="0012285E"/>
    <w:rsid w:val="00122A4B"/>
    <w:rsid w:val="00123601"/>
    <w:rsid w:val="00125182"/>
    <w:rsid w:val="00134FA8"/>
    <w:rsid w:val="00135761"/>
    <w:rsid w:val="001379D0"/>
    <w:rsid w:val="00141798"/>
    <w:rsid w:val="00143FB6"/>
    <w:rsid w:val="0014452C"/>
    <w:rsid w:val="00145848"/>
    <w:rsid w:val="0014695F"/>
    <w:rsid w:val="00146A86"/>
    <w:rsid w:val="0015124C"/>
    <w:rsid w:val="0015261A"/>
    <w:rsid w:val="001551C8"/>
    <w:rsid w:val="00157A43"/>
    <w:rsid w:val="00160A96"/>
    <w:rsid w:val="001615A2"/>
    <w:rsid w:val="00162593"/>
    <w:rsid w:val="00163EAC"/>
    <w:rsid w:val="00164153"/>
    <w:rsid w:val="00167337"/>
    <w:rsid w:val="0017017D"/>
    <w:rsid w:val="00172C69"/>
    <w:rsid w:val="00173AE1"/>
    <w:rsid w:val="00174BE1"/>
    <w:rsid w:val="0017544A"/>
    <w:rsid w:val="00175735"/>
    <w:rsid w:val="00175957"/>
    <w:rsid w:val="00176181"/>
    <w:rsid w:val="001761D8"/>
    <w:rsid w:val="00176343"/>
    <w:rsid w:val="0017637C"/>
    <w:rsid w:val="0017669E"/>
    <w:rsid w:val="00177072"/>
    <w:rsid w:val="0017730B"/>
    <w:rsid w:val="001779C0"/>
    <w:rsid w:val="00180C61"/>
    <w:rsid w:val="00180C81"/>
    <w:rsid w:val="0018146F"/>
    <w:rsid w:val="00182A4D"/>
    <w:rsid w:val="00187A51"/>
    <w:rsid w:val="00190177"/>
    <w:rsid w:val="00190460"/>
    <w:rsid w:val="00193F33"/>
    <w:rsid w:val="00194150"/>
    <w:rsid w:val="00194D79"/>
    <w:rsid w:val="001956F6"/>
    <w:rsid w:val="00195E32"/>
    <w:rsid w:val="00197D7A"/>
    <w:rsid w:val="001A17E3"/>
    <w:rsid w:val="001A27E5"/>
    <w:rsid w:val="001A42C0"/>
    <w:rsid w:val="001A46A9"/>
    <w:rsid w:val="001A7439"/>
    <w:rsid w:val="001A79EB"/>
    <w:rsid w:val="001A7ECA"/>
    <w:rsid w:val="001B0150"/>
    <w:rsid w:val="001B09E2"/>
    <w:rsid w:val="001B24DA"/>
    <w:rsid w:val="001B7F69"/>
    <w:rsid w:val="001C4208"/>
    <w:rsid w:val="001C5BFC"/>
    <w:rsid w:val="001C5E29"/>
    <w:rsid w:val="001C685C"/>
    <w:rsid w:val="001D0FC9"/>
    <w:rsid w:val="001D10B2"/>
    <w:rsid w:val="001D19B9"/>
    <w:rsid w:val="001D40D0"/>
    <w:rsid w:val="001D481A"/>
    <w:rsid w:val="001D4F46"/>
    <w:rsid w:val="001D53ED"/>
    <w:rsid w:val="001D6817"/>
    <w:rsid w:val="001E1552"/>
    <w:rsid w:val="001E194F"/>
    <w:rsid w:val="001E20EE"/>
    <w:rsid w:val="001E4DE3"/>
    <w:rsid w:val="001E4FCD"/>
    <w:rsid w:val="001E54B0"/>
    <w:rsid w:val="001E568C"/>
    <w:rsid w:val="001E65EF"/>
    <w:rsid w:val="001F12CB"/>
    <w:rsid w:val="001F1D0B"/>
    <w:rsid w:val="001F457E"/>
    <w:rsid w:val="001F7F4E"/>
    <w:rsid w:val="00200789"/>
    <w:rsid w:val="00201019"/>
    <w:rsid w:val="00202312"/>
    <w:rsid w:val="002025D4"/>
    <w:rsid w:val="002031D5"/>
    <w:rsid w:val="002032FA"/>
    <w:rsid w:val="0020370B"/>
    <w:rsid w:val="00203C08"/>
    <w:rsid w:val="00206F98"/>
    <w:rsid w:val="002103DF"/>
    <w:rsid w:val="002154EC"/>
    <w:rsid w:val="002179EA"/>
    <w:rsid w:val="002200CF"/>
    <w:rsid w:val="00222A71"/>
    <w:rsid w:val="0022438E"/>
    <w:rsid w:val="002244EC"/>
    <w:rsid w:val="002251D9"/>
    <w:rsid w:val="002269F2"/>
    <w:rsid w:val="002276FF"/>
    <w:rsid w:val="00232255"/>
    <w:rsid w:val="00232379"/>
    <w:rsid w:val="00234A2D"/>
    <w:rsid w:val="00235294"/>
    <w:rsid w:val="00235C94"/>
    <w:rsid w:val="002371A2"/>
    <w:rsid w:val="00243936"/>
    <w:rsid w:val="00245023"/>
    <w:rsid w:val="00252666"/>
    <w:rsid w:val="0025296E"/>
    <w:rsid w:val="002560B2"/>
    <w:rsid w:val="002649D8"/>
    <w:rsid w:val="00264A42"/>
    <w:rsid w:val="00270ED8"/>
    <w:rsid w:val="00273F4E"/>
    <w:rsid w:val="0027487E"/>
    <w:rsid w:val="00277936"/>
    <w:rsid w:val="00281049"/>
    <w:rsid w:val="00281924"/>
    <w:rsid w:val="00284A48"/>
    <w:rsid w:val="00285052"/>
    <w:rsid w:val="00285421"/>
    <w:rsid w:val="00286226"/>
    <w:rsid w:val="00286E8A"/>
    <w:rsid w:val="002908F1"/>
    <w:rsid w:val="00290958"/>
    <w:rsid w:val="002914C4"/>
    <w:rsid w:val="002915EB"/>
    <w:rsid w:val="00293318"/>
    <w:rsid w:val="0029523A"/>
    <w:rsid w:val="002960C2"/>
    <w:rsid w:val="00296BE4"/>
    <w:rsid w:val="00297772"/>
    <w:rsid w:val="00297FAA"/>
    <w:rsid w:val="002A06E9"/>
    <w:rsid w:val="002A2499"/>
    <w:rsid w:val="002A2833"/>
    <w:rsid w:val="002A2A8D"/>
    <w:rsid w:val="002A3419"/>
    <w:rsid w:val="002A61DB"/>
    <w:rsid w:val="002A64A1"/>
    <w:rsid w:val="002A7CE5"/>
    <w:rsid w:val="002B17A6"/>
    <w:rsid w:val="002B218F"/>
    <w:rsid w:val="002C11A3"/>
    <w:rsid w:val="002C2F5D"/>
    <w:rsid w:val="002C42DA"/>
    <w:rsid w:val="002C665E"/>
    <w:rsid w:val="002C7185"/>
    <w:rsid w:val="002D0E12"/>
    <w:rsid w:val="002D0EA8"/>
    <w:rsid w:val="002D32C1"/>
    <w:rsid w:val="002D346B"/>
    <w:rsid w:val="002D4ACB"/>
    <w:rsid w:val="002D4CFA"/>
    <w:rsid w:val="002D58FB"/>
    <w:rsid w:val="002D5CC9"/>
    <w:rsid w:val="002D6A25"/>
    <w:rsid w:val="002D7545"/>
    <w:rsid w:val="002D77D2"/>
    <w:rsid w:val="002E3989"/>
    <w:rsid w:val="002E5C85"/>
    <w:rsid w:val="002E62B1"/>
    <w:rsid w:val="002E6429"/>
    <w:rsid w:val="002F3CDF"/>
    <w:rsid w:val="002F3F10"/>
    <w:rsid w:val="002F60C0"/>
    <w:rsid w:val="002F6957"/>
    <w:rsid w:val="003004F4"/>
    <w:rsid w:val="00301EF4"/>
    <w:rsid w:val="0030333B"/>
    <w:rsid w:val="00303949"/>
    <w:rsid w:val="00303CBB"/>
    <w:rsid w:val="00310AE5"/>
    <w:rsid w:val="00310C35"/>
    <w:rsid w:val="00311F3D"/>
    <w:rsid w:val="00311FF4"/>
    <w:rsid w:val="00313493"/>
    <w:rsid w:val="0031475D"/>
    <w:rsid w:val="00315FB3"/>
    <w:rsid w:val="00316302"/>
    <w:rsid w:val="00317A28"/>
    <w:rsid w:val="00320438"/>
    <w:rsid w:val="00320F8D"/>
    <w:rsid w:val="003227CD"/>
    <w:rsid w:val="00325729"/>
    <w:rsid w:val="00325A1A"/>
    <w:rsid w:val="0032619C"/>
    <w:rsid w:val="00330267"/>
    <w:rsid w:val="003303AD"/>
    <w:rsid w:val="00331FC8"/>
    <w:rsid w:val="003353F0"/>
    <w:rsid w:val="0033541E"/>
    <w:rsid w:val="003358DD"/>
    <w:rsid w:val="00336380"/>
    <w:rsid w:val="00336EAF"/>
    <w:rsid w:val="00337413"/>
    <w:rsid w:val="00341266"/>
    <w:rsid w:val="00342379"/>
    <w:rsid w:val="0034367E"/>
    <w:rsid w:val="00345304"/>
    <w:rsid w:val="00345504"/>
    <w:rsid w:val="00345BFD"/>
    <w:rsid w:val="00350208"/>
    <w:rsid w:val="00352ED2"/>
    <w:rsid w:val="003534FD"/>
    <w:rsid w:val="00353B4F"/>
    <w:rsid w:val="0035722B"/>
    <w:rsid w:val="003606A3"/>
    <w:rsid w:val="00361345"/>
    <w:rsid w:val="00363151"/>
    <w:rsid w:val="00363F10"/>
    <w:rsid w:val="00364843"/>
    <w:rsid w:val="00371F4F"/>
    <w:rsid w:val="00372CED"/>
    <w:rsid w:val="00374E21"/>
    <w:rsid w:val="00375139"/>
    <w:rsid w:val="0037574E"/>
    <w:rsid w:val="00376D51"/>
    <w:rsid w:val="00377460"/>
    <w:rsid w:val="00377990"/>
    <w:rsid w:val="00377EE0"/>
    <w:rsid w:val="00383BE5"/>
    <w:rsid w:val="00386CBC"/>
    <w:rsid w:val="00387D6E"/>
    <w:rsid w:val="003909D0"/>
    <w:rsid w:val="00390E6C"/>
    <w:rsid w:val="00392F5C"/>
    <w:rsid w:val="003949CC"/>
    <w:rsid w:val="003A06B3"/>
    <w:rsid w:val="003A1B7B"/>
    <w:rsid w:val="003A3561"/>
    <w:rsid w:val="003A40CE"/>
    <w:rsid w:val="003A52A4"/>
    <w:rsid w:val="003A580A"/>
    <w:rsid w:val="003A6CF0"/>
    <w:rsid w:val="003B041A"/>
    <w:rsid w:val="003B2434"/>
    <w:rsid w:val="003B26FA"/>
    <w:rsid w:val="003B27B0"/>
    <w:rsid w:val="003B282D"/>
    <w:rsid w:val="003B3209"/>
    <w:rsid w:val="003B3686"/>
    <w:rsid w:val="003B3C33"/>
    <w:rsid w:val="003B6280"/>
    <w:rsid w:val="003B634B"/>
    <w:rsid w:val="003B7B3C"/>
    <w:rsid w:val="003C1A8C"/>
    <w:rsid w:val="003C1EF7"/>
    <w:rsid w:val="003C4BF3"/>
    <w:rsid w:val="003C4F2A"/>
    <w:rsid w:val="003C7F6B"/>
    <w:rsid w:val="003D0B81"/>
    <w:rsid w:val="003D19B7"/>
    <w:rsid w:val="003D2B3F"/>
    <w:rsid w:val="003D387D"/>
    <w:rsid w:val="003D3AEE"/>
    <w:rsid w:val="003D40C3"/>
    <w:rsid w:val="003E1049"/>
    <w:rsid w:val="003E2969"/>
    <w:rsid w:val="003E2F74"/>
    <w:rsid w:val="003E324B"/>
    <w:rsid w:val="003E5846"/>
    <w:rsid w:val="003F0C48"/>
    <w:rsid w:val="003F0DB0"/>
    <w:rsid w:val="003F1206"/>
    <w:rsid w:val="003F173E"/>
    <w:rsid w:val="003F2286"/>
    <w:rsid w:val="003F2F96"/>
    <w:rsid w:val="003F4992"/>
    <w:rsid w:val="003F5B73"/>
    <w:rsid w:val="003F6963"/>
    <w:rsid w:val="003F6CF8"/>
    <w:rsid w:val="003F7452"/>
    <w:rsid w:val="0040002B"/>
    <w:rsid w:val="00400FCD"/>
    <w:rsid w:val="00401094"/>
    <w:rsid w:val="0040120C"/>
    <w:rsid w:val="004023B0"/>
    <w:rsid w:val="00402724"/>
    <w:rsid w:val="0040533E"/>
    <w:rsid w:val="0040539D"/>
    <w:rsid w:val="004070CA"/>
    <w:rsid w:val="00410F73"/>
    <w:rsid w:val="004112AF"/>
    <w:rsid w:val="00411332"/>
    <w:rsid w:val="00415401"/>
    <w:rsid w:val="00417425"/>
    <w:rsid w:val="004175E2"/>
    <w:rsid w:val="00417AEC"/>
    <w:rsid w:val="00422C45"/>
    <w:rsid w:val="00423062"/>
    <w:rsid w:val="00426267"/>
    <w:rsid w:val="00430055"/>
    <w:rsid w:val="00430DD7"/>
    <w:rsid w:val="00433860"/>
    <w:rsid w:val="00434229"/>
    <w:rsid w:val="0043601B"/>
    <w:rsid w:val="0043736C"/>
    <w:rsid w:val="004374F3"/>
    <w:rsid w:val="00440807"/>
    <w:rsid w:val="00440D28"/>
    <w:rsid w:val="00440FCA"/>
    <w:rsid w:val="00442BC4"/>
    <w:rsid w:val="00442E60"/>
    <w:rsid w:val="004442FA"/>
    <w:rsid w:val="00450ECF"/>
    <w:rsid w:val="004523DE"/>
    <w:rsid w:val="00452C64"/>
    <w:rsid w:val="00454951"/>
    <w:rsid w:val="00454BF8"/>
    <w:rsid w:val="00454D85"/>
    <w:rsid w:val="004552E3"/>
    <w:rsid w:val="00455FEB"/>
    <w:rsid w:val="0045617D"/>
    <w:rsid w:val="0045664A"/>
    <w:rsid w:val="004601DF"/>
    <w:rsid w:val="00462661"/>
    <w:rsid w:val="00464E1D"/>
    <w:rsid w:val="00465295"/>
    <w:rsid w:val="004654B4"/>
    <w:rsid w:val="0046619B"/>
    <w:rsid w:val="004720B2"/>
    <w:rsid w:val="00472CE7"/>
    <w:rsid w:val="00473DD5"/>
    <w:rsid w:val="00475CDB"/>
    <w:rsid w:val="004819BC"/>
    <w:rsid w:val="00481DED"/>
    <w:rsid w:val="00482998"/>
    <w:rsid w:val="004833A9"/>
    <w:rsid w:val="00483586"/>
    <w:rsid w:val="004862C3"/>
    <w:rsid w:val="004934CA"/>
    <w:rsid w:val="00494949"/>
    <w:rsid w:val="00494971"/>
    <w:rsid w:val="00494C01"/>
    <w:rsid w:val="004957CF"/>
    <w:rsid w:val="004A1265"/>
    <w:rsid w:val="004A27A0"/>
    <w:rsid w:val="004A2A33"/>
    <w:rsid w:val="004A546E"/>
    <w:rsid w:val="004A558E"/>
    <w:rsid w:val="004B1284"/>
    <w:rsid w:val="004B2CC8"/>
    <w:rsid w:val="004B5438"/>
    <w:rsid w:val="004B5669"/>
    <w:rsid w:val="004B65E5"/>
    <w:rsid w:val="004B7408"/>
    <w:rsid w:val="004B7D1A"/>
    <w:rsid w:val="004C23E7"/>
    <w:rsid w:val="004C25B1"/>
    <w:rsid w:val="004C330D"/>
    <w:rsid w:val="004C61CB"/>
    <w:rsid w:val="004C64E6"/>
    <w:rsid w:val="004C66BD"/>
    <w:rsid w:val="004C793C"/>
    <w:rsid w:val="004C7B97"/>
    <w:rsid w:val="004D1836"/>
    <w:rsid w:val="004D1FE0"/>
    <w:rsid w:val="004D2D60"/>
    <w:rsid w:val="004D2F11"/>
    <w:rsid w:val="004D3251"/>
    <w:rsid w:val="004D4284"/>
    <w:rsid w:val="004D490E"/>
    <w:rsid w:val="004D6BAD"/>
    <w:rsid w:val="004D6EEF"/>
    <w:rsid w:val="004D7CE4"/>
    <w:rsid w:val="004E11BA"/>
    <w:rsid w:val="004E3EB5"/>
    <w:rsid w:val="004E4452"/>
    <w:rsid w:val="004E458E"/>
    <w:rsid w:val="004E4ED0"/>
    <w:rsid w:val="004E62B0"/>
    <w:rsid w:val="004F6B0F"/>
    <w:rsid w:val="005006CF"/>
    <w:rsid w:val="00500951"/>
    <w:rsid w:val="0050266A"/>
    <w:rsid w:val="005053CC"/>
    <w:rsid w:val="00506A4D"/>
    <w:rsid w:val="00510726"/>
    <w:rsid w:val="00511718"/>
    <w:rsid w:val="005118A6"/>
    <w:rsid w:val="005119E4"/>
    <w:rsid w:val="00512CCA"/>
    <w:rsid w:val="005145CC"/>
    <w:rsid w:val="0051681A"/>
    <w:rsid w:val="005173BC"/>
    <w:rsid w:val="0051792A"/>
    <w:rsid w:val="00521EE5"/>
    <w:rsid w:val="00522379"/>
    <w:rsid w:val="00522B6B"/>
    <w:rsid w:val="0052396E"/>
    <w:rsid w:val="00525910"/>
    <w:rsid w:val="005259B9"/>
    <w:rsid w:val="005265C2"/>
    <w:rsid w:val="00526D12"/>
    <w:rsid w:val="005303CE"/>
    <w:rsid w:val="0053169C"/>
    <w:rsid w:val="00533C8F"/>
    <w:rsid w:val="00535D93"/>
    <w:rsid w:val="00536314"/>
    <w:rsid w:val="005369FF"/>
    <w:rsid w:val="00537C83"/>
    <w:rsid w:val="00541D55"/>
    <w:rsid w:val="00542DE5"/>
    <w:rsid w:val="00542E7D"/>
    <w:rsid w:val="00544EFE"/>
    <w:rsid w:val="0054743C"/>
    <w:rsid w:val="00550084"/>
    <w:rsid w:val="00550A2B"/>
    <w:rsid w:val="00551F26"/>
    <w:rsid w:val="00553077"/>
    <w:rsid w:val="005535B9"/>
    <w:rsid w:val="005543DA"/>
    <w:rsid w:val="00555330"/>
    <w:rsid w:val="00555869"/>
    <w:rsid w:val="00557AE8"/>
    <w:rsid w:val="00562EC7"/>
    <w:rsid w:val="0056707E"/>
    <w:rsid w:val="00572825"/>
    <w:rsid w:val="005729C0"/>
    <w:rsid w:val="005731B8"/>
    <w:rsid w:val="005734E7"/>
    <w:rsid w:val="005744CA"/>
    <w:rsid w:val="005748C3"/>
    <w:rsid w:val="00580CA9"/>
    <w:rsid w:val="0058107E"/>
    <w:rsid w:val="0058409E"/>
    <w:rsid w:val="005854A7"/>
    <w:rsid w:val="005863B2"/>
    <w:rsid w:val="00587748"/>
    <w:rsid w:val="0059012F"/>
    <w:rsid w:val="0059064B"/>
    <w:rsid w:val="005908A7"/>
    <w:rsid w:val="00591900"/>
    <w:rsid w:val="005929DF"/>
    <w:rsid w:val="00592B35"/>
    <w:rsid w:val="00593BF2"/>
    <w:rsid w:val="00594590"/>
    <w:rsid w:val="00595C22"/>
    <w:rsid w:val="00595C76"/>
    <w:rsid w:val="005A1ABD"/>
    <w:rsid w:val="005A2DC1"/>
    <w:rsid w:val="005A45AF"/>
    <w:rsid w:val="005A5144"/>
    <w:rsid w:val="005A527F"/>
    <w:rsid w:val="005A7649"/>
    <w:rsid w:val="005B18D2"/>
    <w:rsid w:val="005B38C2"/>
    <w:rsid w:val="005B4218"/>
    <w:rsid w:val="005B4A64"/>
    <w:rsid w:val="005B7C41"/>
    <w:rsid w:val="005C12F5"/>
    <w:rsid w:val="005C1EAF"/>
    <w:rsid w:val="005C53EA"/>
    <w:rsid w:val="005D4369"/>
    <w:rsid w:val="005D4505"/>
    <w:rsid w:val="005E17C8"/>
    <w:rsid w:val="005E2F28"/>
    <w:rsid w:val="005E5464"/>
    <w:rsid w:val="005E77D7"/>
    <w:rsid w:val="005F01E8"/>
    <w:rsid w:val="005F3CC1"/>
    <w:rsid w:val="005F59FB"/>
    <w:rsid w:val="005F6C79"/>
    <w:rsid w:val="005F76FD"/>
    <w:rsid w:val="00600FE4"/>
    <w:rsid w:val="006017D9"/>
    <w:rsid w:val="006033DD"/>
    <w:rsid w:val="00605DB8"/>
    <w:rsid w:val="00607304"/>
    <w:rsid w:val="00610507"/>
    <w:rsid w:val="00610D53"/>
    <w:rsid w:val="00611749"/>
    <w:rsid w:val="006137A9"/>
    <w:rsid w:val="00613C64"/>
    <w:rsid w:val="00614D9D"/>
    <w:rsid w:val="00616262"/>
    <w:rsid w:val="006169D5"/>
    <w:rsid w:val="00621647"/>
    <w:rsid w:val="00624639"/>
    <w:rsid w:val="00625DC4"/>
    <w:rsid w:val="00631474"/>
    <w:rsid w:val="00633CF3"/>
    <w:rsid w:val="00633E7F"/>
    <w:rsid w:val="0063414F"/>
    <w:rsid w:val="0063495C"/>
    <w:rsid w:val="00634BA1"/>
    <w:rsid w:val="00634F95"/>
    <w:rsid w:val="006354CD"/>
    <w:rsid w:val="00636C9E"/>
    <w:rsid w:val="00636DBD"/>
    <w:rsid w:val="0064117F"/>
    <w:rsid w:val="00642246"/>
    <w:rsid w:val="0064686A"/>
    <w:rsid w:val="00647636"/>
    <w:rsid w:val="0065157A"/>
    <w:rsid w:val="00655F76"/>
    <w:rsid w:val="00660145"/>
    <w:rsid w:val="0066284A"/>
    <w:rsid w:val="00662BC0"/>
    <w:rsid w:val="00662C9D"/>
    <w:rsid w:val="00663BC0"/>
    <w:rsid w:val="00663CAB"/>
    <w:rsid w:val="00666544"/>
    <w:rsid w:val="00666654"/>
    <w:rsid w:val="0066679F"/>
    <w:rsid w:val="00666B88"/>
    <w:rsid w:val="00667B7A"/>
    <w:rsid w:val="00671738"/>
    <w:rsid w:val="00672825"/>
    <w:rsid w:val="00674B6C"/>
    <w:rsid w:val="006753F0"/>
    <w:rsid w:val="00676010"/>
    <w:rsid w:val="00681520"/>
    <w:rsid w:val="00681789"/>
    <w:rsid w:val="00682F5E"/>
    <w:rsid w:val="00686993"/>
    <w:rsid w:val="00686E70"/>
    <w:rsid w:val="00687CF1"/>
    <w:rsid w:val="0069087B"/>
    <w:rsid w:val="00691406"/>
    <w:rsid w:val="0069271A"/>
    <w:rsid w:val="00693CAE"/>
    <w:rsid w:val="00694240"/>
    <w:rsid w:val="00695136"/>
    <w:rsid w:val="00696E99"/>
    <w:rsid w:val="006A1C3B"/>
    <w:rsid w:val="006A3026"/>
    <w:rsid w:val="006A3471"/>
    <w:rsid w:val="006A4971"/>
    <w:rsid w:val="006A50E5"/>
    <w:rsid w:val="006B0E6A"/>
    <w:rsid w:val="006B146D"/>
    <w:rsid w:val="006B14AF"/>
    <w:rsid w:val="006B19AE"/>
    <w:rsid w:val="006B44F4"/>
    <w:rsid w:val="006B5EBF"/>
    <w:rsid w:val="006B65B9"/>
    <w:rsid w:val="006B71D9"/>
    <w:rsid w:val="006B771A"/>
    <w:rsid w:val="006C372E"/>
    <w:rsid w:val="006C55D2"/>
    <w:rsid w:val="006C78B9"/>
    <w:rsid w:val="006D0867"/>
    <w:rsid w:val="006D122E"/>
    <w:rsid w:val="006D2BE1"/>
    <w:rsid w:val="006D32AC"/>
    <w:rsid w:val="006D3503"/>
    <w:rsid w:val="006D3FD9"/>
    <w:rsid w:val="006D4CA7"/>
    <w:rsid w:val="006D5077"/>
    <w:rsid w:val="006D5248"/>
    <w:rsid w:val="006E01B7"/>
    <w:rsid w:val="006E37F9"/>
    <w:rsid w:val="006E4BF8"/>
    <w:rsid w:val="006E501A"/>
    <w:rsid w:val="006E63E2"/>
    <w:rsid w:val="006F01B1"/>
    <w:rsid w:val="006F0810"/>
    <w:rsid w:val="006F376A"/>
    <w:rsid w:val="006F4934"/>
    <w:rsid w:val="006F4D24"/>
    <w:rsid w:val="006F561F"/>
    <w:rsid w:val="0070105C"/>
    <w:rsid w:val="0070125B"/>
    <w:rsid w:val="00701DEF"/>
    <w:rsid w:val="0070537D"/>
    <w:rsid w:val="00706377"/>
    <w:rsid w:val="00706721"/>
    <w:rsid w:val="00706C4B"/>
    <w:rsid w:val="00707F6B"/>
    <w:rsid w:val="00710079"/>
    <w:rsid w:val="00710637"/>
    <w:rsid w:val="00710B5A"/>
    <w:rsid w:val="00710C01"/>
    <w:rsid w:val="00710E03"/>
    <w:rsid w:val="00710E70"/>
    <w:rsid w:val="00714213"/>
    <w:rsid w:val="00714DC1"/>
    <w:rsid w:val="00714E6B"/>
    <w:rsid w:val="007157EE"/>
    <w:rsid w:val="007163B7"/>
    <w:rsid w:val="00720507"/>
    <w:rsid w:val="007217F3"/>
    <w:rsid w:val="00724BF2"/>
    <w:rsid w:val="0072631D"/>
    <w:rsid w:val="007278B4"/>
    <w:rsid w:val="00730C7A"/>
    <w:rsid w:val="007312B8"/>
    <w:rsid w:val="00731C2B"/>
    <w:rsid w:val="0073617E"/>
    <w:rsid w:val="00740553"/>
    <w:rsid w:val="007414CC"/>
    <w:rsid w:val="00741B2B"/>
    <w:rsid w:val="007428DC"/>
    <w:rsid w:val="00743037"/>
    <w:rsid w:val="007465D7"/>
    <w:rsid w:val="00747966"/>
    <w:rsid w:val="00747DF6"/>
    <w:rsid w:val="007525B5"/>
    <w:rsid w:val="0075307A"/>
    <w:rsid w:val="007554F1"/>
    <w:rsid w:val="00756AAB"/>
    <w:rsid w:val="007605B1"/>
    <w:rsid w:val="00762A28"/>
    <w:rsid w:val="00762F00"/>
    <w:rsid w:val="00763CDA"/>
    <w:rsid w:val="00764870"/>
    <w:rsid w:val="00765749"/>
    <w:rsid w:val="00766E76"/>
    <w:rsid w:val="00767546"/>
    <w:rsid w:val="00774A49"/>
    <w:rsid w:val="00774F4A"/>
    <w:rsid w:val="00775780"/>
    <w:rsid w:val="00775D69"/>
    <w:rsid w:val="00776D8C"/>
    <w:rsid w:val="007805A1"/>
    <w:rsid w:val="00780760"/>
    <w:rsid w:val="00780926"/>
    <w:rsid w:val="00786926"/>
    <w:rsid w:val="00787C37"/>
    <w:rsid w:val="00791477"/>
    <w:rsid w:val="00792A80"/>
    <w:rsid w:val="0079606F"/>
    <w:rsid w:val="00797937"/>
    <w:rsid w:val="007A0E31"/>
    <w:rsid w:val="007A119A"/>
    <w:rsid w:val="007A2463"/>
    <w:rsid w:val="007A5EED"/>
    <w:rsid w:val="007A6207"/>
    <w:rsid w:val="007B1613"/>
    <w:rsid w:val="007B20DA"/>
    <w:rsid w:val="007B399C"/>
    <w:rsid w:val="007B4797"/>
    <w:rsid w:val="007B6F1E"/>
    <w:rsid w:val="007C2141"/>
    <w:rsid w:val="007C2F36"/>
    <w:rsid w:val="007C313D"/>
    <w:rsid w:val="007C4458"/>
    <w:rsid w:val="007C5956"/>
    <w:rsid w:val="007C6DB4"/>
    <w:rsid w:val="007C6F21"/>
    <w:rsid w:val="007C79E9"/>
    <w:rsid w:val="007D147B"/>
    <w:rsid w:val="007D1C8F"/>
    <w:rsid w:val="007D6E8A"/>
    <w:rsid w:val="007D77EA"/>
    <w:rsid w:val="007E0774"/>
    <w:rsid w:val="007E13FF"/>
    <w:rsid w:val="007E257F"/>
    <w:rsid w:val="007E2C15"/>
    <w:rsid w:val="007E2FCA"/>
    <w:rsid w:val="007E346E"/>
    <w:rsid w:val="007E39B4"/>
    <w:rsid w:val="007E3F10"/>
    <w:rsid w:val="007E5EFC"/>
    <w:rsid w:val="007F05F8"/>
    <w:rsid w:val="007F06AB"/>
    <w:rsid w:val="007F3050"/>
    <w:rsid w:val="007F3376"/>
    <w:rsid w:val="007F388F"/>
    <w:rsid w:val="007F3A3B"/>
    <w:rsid w:val="007F60FE"/>
    <w:rsid w:val="007F77E1"/>
    <w:rsid w:val="007F7AD5"/>
    <w:rsid w:val="00802E54"/>
    <w:rsid w:val="00805620"/>
    <w:rsid w:val="00806AFF"/>
    <w:rsid w:val="00810690"/>
    <w:rsid w:val="0081075A"/>
    <w:rsid w:val="00811BD4"/>
    <w:rsid w:val="00811F7C"/>
    <w:rsid w:val="00815223"/>
    <w:rsid w:val="008166F1"/>
    <w:rsid w:val="0081753D"/>
    <w:rsid w:val="008202FF"/>
    <w:rsid w:val="00820B40"/>
    <w:rsid w:val="00820C7D"/>
    <w:rsid w:val="00820FBB"/>
    <w:rsid w:val="008211AB"/>
    <w:rsid w:val="008217E8"/>
    <w:rsid w:val="008256E9"/>
    <w:rsid w:val="0082652F"/>
    <w:rsid w:val="0083539E"/>
    <w:rsid w:val="00841828"/>
    <w:rsid w:val="00842E8C"/>
    <w:rsid w:val="008436DD"/>
    <w:rsid w:val="00846298"/>
    <w:rsid w:val="00851155"/>
    <w:rsid w:val="0085231A"/>
    <w:rsid w:val="00852937"/>
    <w:rsid w:val="008539AE"/>
    <w:rsid w:val="00862779"/>
    <w:rsid w:val="00862B09"/>
    <w:rsid w:val="00863C37"/>
    <w:rsid w:val="00864007"/>
    <w:rsid w:val="008659D9"/>
    <w:rsid w:val="00867552"/>
    <w:rsid w:val="00871709"/>
    <w:rsid w:val="0087189F"/>
    <w:rsid w:val="0087243A"/>
    <w:rsid w:val="00872CE2"/>
    <w:rsid w:val="00872ECC"/>
    <w:rsid w:val="00876274"/>
    <w:rsid w:val="00877BC1"/>
    <w:rsid w:val="0088058C"/>
    <w:rsid w:val="00881ECA"/>
    <w:rsid w:val="00883FCC"/>
    <w:rsid w:val="00890429"/>
    <w:rsid w:val="00891384"/>
    <w:rsid w:val="00892026"/>
    <w:rsid w:val="008923EB"/>
    <w:rsid w:val="00892B87"/>
    <w:rsid w:val="0089371D"/>
    <w:rsid w:val="008945A7"/>
    <w:rsid w:val="0089554F"/>
    <w:rsid w:val="00895D20"/>
    <w:rsid w:val="00897A0B"/>
    <w:rsid w:val="00897FF2"/>
    <w:rsid w:val="008A28A5"/>
    <w:rsid w:val="008A43EC"/>
    <w:rsid w:val="008A6E17"/>
    <w:rsid w:val="008A7FC8"/>
    <w:rsid w:val="008B0A82"/>
    <w:rsid w:val="008B1782"/>
    <w:rsid w:val="008B2B31"/>
    <w:rsid w:val="008B32BF"/>
    <w:rsid w:val="008B791C"/>
    <w:rsid w:val="008B7D83"/>
    <w:rsid w:val="008C2C13"/>
    <w:rsid w:val="008C5B9E"/>
    <w:rsid w:val="008D0116"/>
    <w:rsid w:val="008D0971"/>
    <w:rsid w:val="008D348C"/>
    <w:rsid w:val="008D43A7"/>
    <w:rsid w:val="008D682E"/>
    <w:rsid w:val="008D7135"/>
    <w:rsid w:val="008E01D3"/>
    <w:rsid w:val="008E2476"/>
    <w:rsid w:val="008E47C9"/>
    <w:rsid w:val="008E4E80"/>
    <w:rsid w:val="008E5ED2"/>
    <w:rsid w:val="008F6FFB"/>
    <w:rsid w:val="00903F42"/>
    <w:rsid w:val="009041A8"/>
    <w:rsid w:val="0090540E"/>
    <w:rsid w:val="00906555"/>
    <w:rsid w:val="009106EE"/>
    <w:rsid w:val="0091098D"/>
    <w:rsid w:val="009143C6"/>
    <w:rsid w:val="00920FA1"/>
    <w:rsid w:val="00921131"/>
    <w:rsid w:val="0092188E"/>
    <w:rsid w:val="00921EA2"/>
    <w:rsid w:val="0092222B"/>
    <w:rsid w:val="00922A14"/>
    <w:rsid w:val="00922D6C"/>
    <w:rsid w:val="00923092"/>
    <w:rsid w:val="00923763"/>
    <w:rsid w:val="00923DD4"/>
    <w:rsid w:val="00926B08"/>
    <w:rsid w:val="0093632F"/>
    <w:rsid w:val="0093695B"/>
    <w:rsid w:val="00937C2F"/>
    <w:rsid w:val="00940403"/>
    <w:rsid w:val="00941F17"/>
    <w:rsid w:val="00942699"/>
    <w:rsid w:val="009443E4"/>
    <w:rsid w:val="00946C04"/>
    <w:rsid w:val="00950ADB"/>
    <w:rsid w:val="009512F9"/>
    <w:rsid w:val="009516E8"/>
    <w:rsid w:val="00951C5F"/>
    <w:rsid w:val="00951F61"/>
    <w:rsid w:val="0095307F"/>
    <w:rsid w:val="00953F4D"/>
    <w:rsid w:val="009564C9"/>
    <w:rsid w:val="00956635"/>
    <w:rsid w:val="00956BCB"/>
    <w:rsid w:val="00956FC1"/>
    <w:rsid w:val="0096479E"/>
    <w:rsid w:val="009657E2"/>
    <w:rsid w:val="00967C14"/>
    <w:rsid w:val="00967E52"/>
    <w:rsid w:val="0097031F"/>
    <w:rsid w:val="009721B1"/>
    <w:rsid w:val="00972850"/>
    <w:rsid w:val="009754CE"/>
    <w:rsid w:val="0097566E"/>
    <w:rsid w:val="0097659D"/>
    <w:rsid w:val="00977667"/>
    <w:rsid w:val="0098083C"/>
    <w:rsid w:val="00981A84"/>
    <w:rsid w:val="00981CD9"/>
    <w:rsid w:val="00983B75"/>
    <w:rsid w:val="00984A1E"/>
    <w:rsid w:val="00987783"/>
    <w:rsid w:val="00987C24"/>
    <w:rsid w:val="0099163E"/>
    <w:rsid w:val="0099189B"/>
    <w:rsid w:val="0099363A"/>
    <w:rsid w:val="00995B6A"/>
    <w:rsid w:val="0099655E"/>
    <w:rsid w:val="00996B47"/>
    <w:rsid w:val="00997036"/>
    <w:rsid w:val="009A1048"/>
    <w:rsid w:val="009A1620"/>
    <w:rsid w:val="009A202D"/>
    <w:rsid w:val="009A7E17"/>
    <w:rsid w:val="009B0116"/>
    <w:rsid w:val="009B0594"/>
    <w:rsid w:val="009C079B"/>
    <w:rsid w:val="009C1D07"/>
    <w:rsid w:val="009C1FA9"/>
    <w:rsid w:val="009C28DE"/>
    <w:rsid w:val="009C3195"/>
    <w:rsid w:val="009C3947"/>
    <w:rsid w:val="009C452A"/>
    <w:rsid w:val="009C57BA"/>
    <w:rsid w:val="009D2BBC"/>
    <w:rsid w:val="009D355E"/>
    <w:rsid w:val="009D36A0"/>
    <w:rsid w:val="009D39D1"/>
    <w:rsid w:val="009D4C7D"/>
    <w:rsid w:val="009E03E3"/>
    <w:rsid w:val="009E0842"/>
    <w:rsid w:val="009E127D"/>
    <w:rsid w:val="009E154B"/>
    <w:rsid w:val="009E2F77"/>
    <w:rsid w:val="009E3A8D"/>
    <w:rsid w:val="009E432E"/>
    <w:rsid w:val="009E43D0"/>
    <w:rsid w:val="009E6193"/>
    <w:rsid w:val="009E6682"/>
    <w:rsid w:val="009E69BA"/>
    <w:rsid w:val="009E69D5"/>
    <w:rsid w:val="009F317F"/>
    <w:rsid w:val="00A00B5E"/>
    <w:rsid w:val="00A016C0"/>
    <w:rsid w:val="00A01ADB"/>
    <w:rsid w:val="00A02448"/>
    <w:rsid w:val="00A02ACB"/>
    <w:rsid w:val="00A03705"/>
    <w:rsid w:val="00A04417"/>
    <w:rsid w:val="00A05AEE"/>
    <w:rsid w:val="00A06419"/>
    <w:rsid w:val="00A06762"/>
    <w:rsid w:val="00A06A08"/>
    <w:rsid w:val="00A06BE7"/>
    <w:rsid w:val="00A07E54"/>
    <w:rsid w:val="00A12525"/>
    <w:rsid w:val="00A14392"/>
    <w:rsid w:val="00A14F93"/>
    <w:rsid w:val="00A1558E"/>
    <w:rsid w:val="00A17C06"/>
    <w:rsid w:val="00A21A1D"/>
    <w:rsid w:val="00A21C9B"/>
    <w:rsid w:val="00A2302F"/>
    <w:rsid w:val="00A2326B"/>
    <w:rsid w:val="00A24B95"/>
    <w:rsid w:val="00A256F5"/>
    <w:rsid w:val="00A27EF5"/>
    <w:rsid w:val="00A32079"/>
    <w:rsid w:val="00A32B19"/>
    <w:rsid w:val="00A3461A"/>
    <w:rsid w:val="00A34AF2"/>
    <w:rsid w:val="00A34E2E"/>
    <w:rsid w:val="00A379B0"/>
    <w:rsid w:val="00A4133E"/>
    <w:rsid w:val="00A413B9"/>
    <w:rsid w:val="00A41769"/>
    <w:rsid w:val="00A4429F"/>
    <w:rsid w:val="00A44419"/>
    <w:rsid w:val="00A46CCB"/>
    <w:rsid w:val="00A4728B"/>
    <w:rsid w:val="00A508E7"/>
    <w:rsid w:val="00A526DC"/>
    <w:rsid w:val="00A52BED"/>
    <w:rsid w:val="00A53062"/>
    <w:rsid w:val="00A55E3D"/>
    <w:rsid w:val="00A604F7"/>
    <w:rsid w:val="00A62D6E"/>
    <w:rsid w:val="00A654AA"/>
    <w:rsid w:val="00A70B55"/>
    <w:rsid w:val="00A70FCB"/>
    <w:rsid w:val="00A73F5C"/>
    <w:rsid w:val="00A75DE9"/>
    <w:rsid w:val="00A81C76"/>
    <w:rsid w:val="00A821C6"/>
    <w:rsid w:val="00A84990"/>
    <w:rsid w:val="00A84C1B"/>
    <w:rsid w:val="00A90099"/>
    <w:rsid w:val="00A901DD"/>
    <w:rsid w:val="00A90331"/>
    <w:rsid w:val="00A904C0"/>
    <w:rsid w:val="00A9242E"/>
    <w:rsid w:val="00A93BC2"/>
    <w:rsid w:val="00AA01F4"/>
    <w:rsid w:val="00AA0765"/>
    <w:rsid w:val="00AA19C0"/>
    <w:rsid w:val="00AA2DC5"/>
    <w:rsid w:val="00AA3FB4"/>
    <w:rsid w:val="00AA41E6"/>
    <w:rsid w:val="00AA5942"/>
    <w:rsid w:val="00AA5A08"/>
    <w:rsid w:val="00AA70A0"/>
    <w:rsid w:val="00AB041F"/>
    <w:rsid w:val="00AB053A"/>
    <w:rsid w:val="00AB4AFA"/>
    <w:rsid w:val="00AB686D"/>
    <w:rsid w:val="00AB79C1"/>
    <w:rsid w:val="00AC149B"/>
    <w:rsid w:val="00AC17C6"/>
    <w:rsid w:val="00AC2C33"/>
    <w:rsid w:val="00AC31BD"/>
    <w:rsid w:val="00AC5D8F"/>
    <w:rsid w:val="00AC7024"/>
    <w:rsid w:val="00AD18EC"/>
    <w:rsid w:val="00AD6E53"/>
    <w:rsid w:val="00AD768E"/>
    <w:rsid w:val="00AE1270"/>
    <w:rsid w:val="00AE2AE8"/>
    <w:rsid w:val="00AE6E05"/>
    <w:rsid w:val="00AF014E"/>
    <w:rsid w:val="00AF16B6"/>
    <w:rsid w:val="00AF49C9"/>
    <w:rsid w:val="00AF530F"/>
    <w:rsid w:val="00AF775E"/>
    <w:rsid w:val="00B00612"/>
    <w:rsid w:val="00B02A8F"/>
    <w:rsid w:val="00B02F43"/>
    <w:rsid w:val="00B04D23"/>
    <w:rsid w:val="00B07F62"/>
    <w:rsid w:val="00B116EE"/>
    <w:rsid w:val="00B12186"/>
    <w:rsid w:val="00B13190"/>
    <w:rsid w:val="00B16704"/>
    <w:rsid w:val="00B17005"/>
    <w:rsid w:val="00B2180E"/>
    <w:rsid w:val="00B21C26"/>
    <w:rsid w:val="00B233D8"/>
    <w:rsid w:val="00B237CC"/>
    <w:rsid w:val="00B23A86"/>
    <w:rsid w:val="00B240C6"/>
    <w:rsid w:val="00B24F9D"/>
    <w:rsid w:val="00B2544E"/>
    <w:rsid w:val="00B308FD"/>
    <w:rsid w:val="00B31C57"/>
    <w:rsid w:val="00B35013"/>
    <w:rsid w:val="00B37950"/>
    <w:rsid w:val="00B404CF"/>
    <w:rsid w:val="00B40E5A"/>
    <w:rsid w:val="00B42736"/>
    <w:rsid w:val="00B43D1A"/>
    <w:rsid w:val="00B52A8E"/>
    <w:rsid w:val="00B56266"/>
    <w:rsid w:val="00B563A6"/>
    <w:rsid w:val="00B56B1A"/>
    <w:rsid w:val="00B579D2"/>
    <w:rsid w:val="00B60039"/>
    <w:rsid w:val="00B616E0"/>
    <w:rsid w:val="00B6375A"/>
    <w:rsid w:val="00B63CA7"/>
    <w:rsid w:val="00B63CC9"/>
    <w:rsid w:val="00B641FB"/>
    <w:rsid w:val="00B6716C"/>
    <w:rsid w:val="00B70B20"/>
    <w:rsid w:val="00B725EA"/>
    <w:rsid w:val="00B72AA1"/>
    <w:rsid w:val="00B7444C"/>
    <w:rsid w:val="00B75042"/>
    <w:rsid w:val="00B75F36"/>
    <w:rsid w:val="00B77427"/>
    <w:rsid w:val="00B80B57"/>
    <w:rsid w:val="00B8352A"/>
    <w:rsid w:val="00B8373D"/>
    <w:rsid w:val="00B847CF"/>
    <w:rsid w:val="00B85ACB"/>
    <w:rsid w:val="00B94934"/>
    <w:rsid w:val="00B94D7F"/>
    <w:rsid w:val="00B9528C"/>
    <w:rsid w:val="00B96D0F"/>
    <w:rsid w:val="00B973CC"/>
    <w:rsid w:val="00B97CAD"/>
    <w:rsid w:val="00B97F8C"/>
    <w:rsid w:val="00BA04A1"/>
    <w:rsid w:val="00BA2CE7"/>
    <w:rsid w:val="00BA3232"/>
    <w:rsid w:val="00BA5E0C"/>
    <w:rsid w:val="00BA6016"/>
    <w:rsid w:val="00BA6073"/>
    <w:rsid w:val="00BA6607"/>
    <w:rsid w:val="00BB1BFA"/>
    <w:rsid w:val="00BB1FA1"/>
    <w:rsid w:val="00BB3152"/>
    <w:rsid w:val="00BB46E2"/>
    <w:rsid w:val="00BB6CCC"/>
    <w:rsid w:val="00BB6D2C"/>
    <w:rsid w:val="00BB6F68"/>
    <w:rsid w:val="00BC0837"/>
    <w:rsid w:val="00BC0F2D"/>
    <w:rsid w:val="00BC15D4"/>
    <w:rsid w:val="00BC18EB"/>
    <w:rsid w:val="00BC1D2A"/>
    <w:rsid w:val="00BC341F"/>
    <w:rsid w:val="00BC3D7B"/>
    <w:rsid w:val="00BC7260"/>
    <w:rsid w:val="00BC7813"/>
    <w:rsid w:val="00BD0011"/>
    <w:rsid w:val="00BD1596"/>
    <w:rsid w:val="00BD1873"/>
    <w:rsid w:val="00BD3A80"/>
    <w:rsid w:val="00BD3DFD"/>
    <w:rsid w:val="00BD63BC"/>
    <w:rsid w:val="00BD7A69"/>
    <w:rsid w:val="00BE1FC9"/>
    <w:rsid w:val="00BE1FF9"/>
    <w:rsid w:val="00BE403A"/>
    <w:rsid w:val="00BE57AD"/>
    <w:rsid w:val="00BE6002"/>
    <w:rsid w:val="00BF085E"/>
    <w:rsid w:val="00BF0A52"/>
    <w:rsid w:val="00BF11C8"/>
    <w:rsid w:val="00BF1B26"/>
    <w:rsid w:val="00BF1C61"/>
    <w:rsid w:val="00BF1FC0"/>
    <w:rsid w:val="00BF52F0"/>
    <w:rsid w:val="00BF55B9"/>
    <w:rsid w:val="00BF6546"/>
    <w:rsid w:val="00C0048E"/>
    <w:rsid w:val="00C033BA"/>
    <w:rsid w:val="00C043AA"/>
    <w:rsid w:val="00C0465F"/>
    <w:rsid w:val="00C04F12"/>
    <w:rsid w:val="00C05002"/>
    <w:rsid w:val="00C05660"/>
    <w:rsid w:val="00C059B8"/>
    <w:rsid w:val="00C06145"/>
    <w:rsid w:val="00C07073"/>
    <w:rsid w:val="00C10197"/>
    <w:rsid w:val="00C10EAB"/>
    <w:rsid w:val="00C11883"/>
    <w:rsid w:val="00C12698"/>
    <w:rsid w:val="00C13AA4"/>
    <w:rsid w:val="00C21C5A"/>
    <w:rsid w:val="00C24BC8"/>
    <w:rsid w:val="00C272C7"/>
    <w:rsid w:val="00C32E96"/>
    <w:rsid w:val="00C34B48"/>
    <w:rsid w:val="00C34BA7"/>
    <w:rsid w:val="00C357D7"/>
    <w:rsid w:val="00C3742E"/>
    <w:rsid w:val="00C44330"/>
    <w:rsid w:val="00C44EF7"/>
    <w:rsid w:val="00C45C2F"/>
    <w:rsid w:val="00C47176"/>
    <w:rsid w:val="00C47AB8"/>
    <w:rsid w:val="00C51285"/>
    <w:rsid w:val="00C514A6"/>
    <w:rsid w:val="00C517BF"/>
    <w:rsid w:val="00C529EC"/>
    <w:rsid w:val="00C52C9D"/>
    <w:rsid w:val="00C52DDB"/>
    <w:rsid w:val="00C539E7"/>
    <w:rsid w:val="00C55FCC"/>
    <w:rsid w:val="00C56844"/>
    <w:rsid w:val="00C56DDB"/>
    <w:rsid w:val="00C600CC"/>
    <w:rsid w:val="00C627A2"/>
    <w:rsid w:val="00C62BDF"/>
    <w:rsid w:val="00C6581A"/>
    <w:rsid w:val="00C65C00"/>
    <w:rsid w:val="00C67E7A"/>
    <w:rsid w:val="00C708E1"/>
    <w:rsid w:val="00C715CD"/>
    <w:rsid w:val="00C71815"/>
    <w:rsid w:val="00C73205"/>
    <w:rsid w:val="00C74C29"/>
    <w:rsid w:val="00C75207"/>
    <w:rsid w:val="00C76E97"/>
    <w:rsid w:val="00C77B18"/>
    <w:rsid w:val="00C77E24"/>
    <w:rsid w:val="00C8076F"/>
    <w:rsid w:val="00C8276C"/>
    <w:rsid w:val="00C82989"/>
    <w:rsid w:val="00C832FE"/>
    <w:rsid w:val="00C83498"/>
    <w:rsid w:val="00C83598"/>
    <w:rsid w:val="00C862F3"/>
    <w:rsid w:val="00C87A25"/>
    <w:rsid w:val="00C91E27"/>
    <w:rsid w:val="00C9201C"/>
    <w:rsid w:val="00C92BBE"/>
    <w:rsid w:val="00C9304D"/>
    <w:rsid w:val="00C95935"/>
    <w:rsid w:val="00CA0533"/>
    <w:rsid w:val="00CA0807"/>
    <w:rsid w:val="00CA17FC"/>
    <w:rsid w:val="00CA507D"/>
    <w:rsid w:val="00CA7ADC"/>
    <w:rsid w:val="00CB2751"/>
    <w:rsid w:val="00CB33DD"/>
    <w:rsid w:val="00CB48BC"/>
    <w:rsid w:val="00CC2435"/>
    <w:rsid w:val="00CC4144"/>
    <w:rsid w:val="00CC4F81"/>
    <w:rsid w:val="00CC5BB0"/>
    <w:rsid w:val="00CC5C2D"/>
    <w:rsid w:val="00CC649F"/>
    <w:rsid w:val="00CC7FC0"/>
    <w:rsid w:val="00CD0ABF"/>
    <w:rsid w:val="00CD0F84"/>
    <w:rsid w:val="00CD23AB"/>
    <w:rsid w:val="00CD307F"/>
    <w:rsid w:val="00CD39FF"/>
    <w:rsid w:val="00CD5660"/>
    <w:rsid w:val="00CD5A65"/>
    <w:rsid w:val="00CD5E99"/>
    <w:rsid w:val="00CD6C13"/>
    <w:rsid w:val="00CD71E7"/>
    <w:rsid w:val="00CE01F1"/>
    <w:rsid w:val="00CE0282"/>
    <w:rsid w:val="00CE1120"/>
    <w:rsid w:val="00CE3BD8"/>
    <w:rsid w:val="00CE58F2"/>
    <w:rsid w:val="00CE6C37"/>
    <w:rsid w:val="00CE73CD"/>
    <w:rsid w:val="00CF08A3"/>
    <w:rsid w:val="00CF0EFE"/>
    <w:rsid w:val="00CF1812"/>
    <w:rsid w:val="00CF3693"/>
    <w:rsid w:val="00CF3918"/>
    <w:rsid w:val="00CF6151"/>
    <w:rsid w:val="00CF6553"/>
    <w:rsid w:val="00CF78B2"/>
    <w:rsid w:val="00D00ED8"/>
    <w:rsid w:val="00D02453"/>
    <w:rsid w:val="00D041F7"/>
    <w:rsid w:val="00D05343"/>
    <w:rsid w:val="00D0563C"/>
    <w:rsid w:val="00D069EB"/>
    <w:rsid w:val="00D06BDD"/>
    <w:rsid w:val="00D06C44"/>
    <w:rsid w:val="00D10A49"/>
    <w:rsid w:val="00D11247"/>
    <w:rsid w:val="00D126FF"/>
    <w:rsid w:val="00D12932"/>
    <w:rsid w:val="00D12C27"/>
    <w:rsid w:val="00D12D05"/>
    <w:rsid w:val="00D14D57"/>
    <w:rsid w:val="00D1695C"/>
    <w:rsid w:val="00D17D65"/>
    <w:rsid w:val="00D2160C"/>
    <w:rsid w:val="00D26C4F"/>
    <w:rsid w:val="00D26EDD"/>
    <w:rsid w:val="00D32C24"/>
    <w:rsid w:val="00D33D03"/>
    <w:rsid w:val="00D35F13"/>
    <w:rsid w:val="00D36060"/>
    <w:rsid w:val="00D40A8A"/>
    <w:rsid w:val="00D421D9"/>
    <w:rsid w:val="00D4588A"/>
    <w:rsid w:val="00D47645"/>
    <w:rsid w:val="00D51535"/>
    <w:rsid w:val="00D5365B"/>
    <w:rsid w:val="00D56CAE"/>
    <w:rsid w:val="00D60348"/>
    <w:rsid w:val="00D6326C"/>
    <w:rsid w:val="00D66471"/>
    <w:rsid w:val="00D66D3F"/>
    <w:rsid w:val="00D6736E"/>
    <w:rsid w:val="00D67C9A"/>
    <w:rsid w:val="00D70784"/>
    <w:rsid w:val="00D70FC6"/>
    <w:rsid w:val="00D720C6"/>
    <w:rsid w:val="00D722F7"/>
    <w:rsid w:val="00D72E2C"/>
    <w:rsid w:val="00D73FC3"/>
    <w:rsid w:val="00D746B3"/>
    <w:rsid w:val="00D75238"/>
    <w:rsid w:val="00D76B0E"/>
    <w:rsid w:val="00D77E68"/>
    <w:rsid w:val="00D8189C"/>
    <w:rsid w:val="00D81ED9"/>
    <w:rsid w:val="00D837B1"/>
    <w:rsid w:val="00D85504"/>
    <w:rsid w:val="00D8617D"/>
    <w:rsid w:val="00D871E5"/>
    <w:rsid w:val="00D912EE"/>
    <w:rsid w:val="00D9217E"/>
    <w:rsid w:val="00D92B3E"/>
    <w:rsid w:val="00D93189"/>
    <w:rsid w:val="00D9403A"/>
    <w:rsid w:val="00D963E3"/>
    <w:rsid w:val="00D96B99"/>
    <w:rsid w:val="00D97260"/>
    <w:rsid w:val="00D97AAB"/>
    <w:rsid w:val="00DA160D"/>
    <w:rsid w:val="00DA280E"/>
    <w:rsid w:val="00DA2817"/>
    <w:rsid w:val="00DA3484"/>
    <w:rsid w:val="00DA4D58"/>
    <w:rsid w:val="00DA5FB6"/>
    <w:rsid w:val="00DA62CB"/>
    <w:rsid w:val="00DA6895"/>
    <w:rsid w:val="00DA6C4B"/>
    <w:rsid w:val="00DB0F6C"/>
    <w:rsid w:val="00DB3B45"/>
    <w:rsid w:val="00DB425A"/>
    <w:rsid w:val="00DB544B"/>
    <w:rsid w:val="00DB5AF8"/>
    <w:rsid w:val="00DB695A"/>
    <w:rsid w:val="00DB7108"/>
    <w:rsid w:val="00DB7440"/>
    <w:rsid w:val="00DC0CBE"/>
    <w:rsid w:val="00DC1BC9"/>
    <w:rsid w:val="00DC2DC5"/>
    <w:rsid w:val="00DC3095"/>
    <w:rsid w:val="00DC4F4D"/>
    <w:rsid w:val="00DD0E47"/>
    <w:rsid w:val="00DD13F5"/>
    <w:rsid w:val="00DD2DBD"/>
    <w:rsid w:val="00DD7ACA"/>
    <w:rsid w:val="00DE160B"/>
    <w:rsid w:val="00DE34D9"/>
    <w:rsid w:val="00DE3F2A"/>
    <w:rsid w:val="00DE448D"/>
    <w:rsid w:val="00DE47EA"/>
    <w:rsid w:val="00DE7967"/>
    <w:rsid w:val="00DF2080"/>
    <w:rsid w:val="00DF3BCE"/>
    <w:rsid w:val="00DF4F7E"/>
    <w:rsid w:val="00DF6D76"/>
    <w:rsid w:val="00E01298"/>
    <w:rsid w:val="00E01848"/>
    <w:rsid w:val="00E01F75"/>
    <w:rsid w:val="00E03AEE"/>
    <w:rsid w:val="00E04464"/>
    <w:rsid w:val="00E04D67"/>
    <w:rsid w:val="00E068B3"/>
    <w:rsid w:val="00E10183"/>
    <w:rsid w:val="00E13622"/>
    <w:rsid w:val="00E139FC"/>
    <w:rsid w:val="00E13EFA"/>
    <w:rsid w:val="00E14372"/>
    <w:rsid w:val="00E145E5"/>
    <w:rsid w:val="00E14FA2"/>
    <w:rsid w:val="00E174D7"/>
    <w:rsid w:val="00E22E73"/>
    <w:rsid w:val="00E24091"/>
    <w:rsid w:val="00E243FF"/>
    <w:rsid w:val="00E27AF0"/>
    <w:rsid w:val="00E322D4"/>
    <w:rsid w:val="00E33DC3"/>
    <w:rsid w:val="00E35585"/>
    <w:rsid w:val="00E3568D"/>
    <w:rsid w:val="00E3771E"/>
    <w:rsid w:val="00E40ABF"/>
    <w:rsid w:val="00E430DE"/>
    <w:rsid w:val="00E43504"/>
    <w:rsid w:val="00E43B53"/>
    <w:rsid w:val="00E43D3F"/>
    <w:rsid w:val="00E453D2"/>
    <w:rsid w:val="00E50113"/>
    <w:rsid w:val="00E50BA8"/>
    <w:rsid w:val="00E511FA"/>
    <w:rsid w:val="00E51425"/>
    <w:rsid w:val="00E5294B"/>
    <w:rsid w:val="00E52B96"/>
    <w:rsid w:val="00E5329A"/>
    <w:rsid w:val="00E5485A"/>
    <w:rsid w:val="00E557B3"/>
    <w:rsid w:val="00E55FF9"/>
    <w:rsid w:val="00E6022D"/>
    <w:rsid w:val="00E61301"/>
    <w:rsid w:val="00E651F2"/>
    <w:rsid w:val="00E654CB"/>
    <w:rsid w:val="00E66B42"/>
    <w:rsid w:val="00E66D3A"/>
    <w:rsid w:val="00E67866"/>
    <w:rsid w:val="00E72545"/>
    <w:rsid w:val="00E73909"/>
    <w:rsid w:val="00E739D2"/>
    <w:rsid w:val="00E74DC9"/>
    <w:rsid w:val="00E77FB0"/>
    <w:rsid w:val="00E81688"/>
    <w:rsid w:val="00E81AF6"/>
    <w:rsid w:val="00E8235E"/>
    <w:rsid w:val="00E82A3A"/>
    <w:rsid w:val="00E838EE"/>
    <w:rsid w:val="00E857D0"/>
    <w:rsid w:val="00E85BFE"/>
    <w:rsid w:val="00E872BD"/>
    <w:rsid w:val="00E95053"/>
    <w:rsid w:val="00E95662"/>
    <w:rsid w:val="00EA0854"/>
    <w:rsid w:val="00EA1C33"/>
    <w:rsid w:val="00EA58BD"/>
    <w:rsid w:val="00EB0243"/>
    <w:rsid w:val="00EB07DE"/>
    <w:rsid w:val="00EB1933"/>
    <w:rsid w:val="00EB27FE"/>
    <w:rsid w:val="00EB2C74"/>
    <w:rsid w:val="00EB4095"/>
    <w:rsid w:val="00EB6578"/>
    <w:rsid w:val="00EB69AA"/>
    <w:rsid w:val="00EB6FB5"/>
    <w:rsid w:val="00EB7CFD"/>
    <w:rsid w:val="00EC26C6"/>
    <w:rsid w:val="00EC4B25"/>
    <w:rsid w:val="00EC51EC"/>
    <w:rsid w:val="00EC7324"/>
    <w:rsid w:val="00ED037D"/>
    <w:rsid w:val="00ED2B5C"/>
    <w:rsid w:val="00ED2BB0"/>
    <w:rsid w:val="00ED2E7E"/>
    <w:rsid w:val="00ED3979"/>
    <w:rsid w:val="00ED3DBF"/>
    <w:rsid w:val="00ED41D5"/>
    <w:rsid w:val="00ED47D3"/>
    <w:rsid w:val="00ED6FBD"/>
    <w:rsid w:val="00EE387D"/>
    <w:rsid w:val="00EE3967"/>
    <w:rsid w:val="00EE3A06"/>
    <w:rsid w:val="00EE422D"/>
    <w:rsid w:val="00EE423D"/>
    <w:rsid w:val="00EE44BE"/>
    <w:rsid w:val="00EE5B7F"/>
    <w:rsid w:val="00EE7C49"/>
    <w:rsid w:val="00EF01ED"/>
    <w:rsid w:val="00EF239C"/>
    <w:rsid w:val="00EF2C7A"/>
    <w:rsid w:val="00EF2D5B"/>
    <w:rsid w:val="00EF3259"/>
    <w:rsid w:val="00EF481C"/>
    <w:rsid w:val="00EF6552"/>
    <w:rsid w:val="00EF66DC"/>
    <w:rsid w:val="00EF66F7"/>
    <w:rsid w:val="00EF72C3"/>
    <w:rsid w:val="00EF7A4B"/>
    <w:rsid w:val="00F00EF7"/>
    <w:rsid w:val="00F010EF"/>
    <w:rsid w:val="00F01B94"/>
    <w:rsid w:val="00F02E90"/>
    <w:rsid w:val="00F04AF5"/>
    <w:rsid w:val="00F058F0"/>
    <w:rsid w:val="00F05F51"/>
    <w:rsid w:val="00F07F8C"/>
    <w:rsid w:val="00F12B5E"/>
    <w:rsid w:val="00F13FF0"/>
    <w:rsid w:val="00F14CFB"/>
    <w:rsid w:val="00F17360"/>
    <w:rsid w:val="00F20CC3"/>
    <w:rsid w:val="00F22BE1"/>
    <w:rsid w:val="00F22E0F"/>
    <w:rsid w:val="00F25734"/>
    <w:rsid w:val="00F30F33"/>
    <w:rsid w:val="00F3103C"/>
    <w:rsid w:val="00F3122F"/>
    <w:rsid w:val="00F3179F"/>
    <w:rsid w:val="00F327EB"/>
    <w:rsid w:val="00F340F2"/>
    <w:rsid w:val="00F34240"/>
    <w:rsid w:val="00F34BA9"/>
    <w:rsid w:val="00F364A7"/>
    <w:rsid w:val="00F40A25"/>
    <w:rsid w:val="00F437AC"/>
    <w:rsid w:val="00F46BAD"/>
    <w:rsid w:val="00F46D09"/>
    <w:rsid w:val="00F4787A"/>
    <w:rsid w:val="00F50E26"/>
    <w:rsid w:val="00F534FC"/>
    <w:rsid w:val="00F546C9"/>
    <w:rsid w:val="00F54C29"/>
    <w:rsid w:val="00F54F95"/>
    <w:rsid w:val="00F55166"/>
    <w:rsid w:val="00F575A3"/>
    <w:rsid w:val="00F57988"/>
    <w:rsid w:val="00F6115B"/>
    <w:rsid w:val="00F61494"/>
    <w:rsid w:val="00F61695"/>
    <w:rsid w:val="00F6192C"/>
    <w:rsid w:val="00F61E6C"/>
    <w:rsid w:val="00F635AF"/>
    <w:rsid w:val="00F642B2"/>
    <w:rsid w:val="00F65951"/>
    <w:rsid w:val="00F661A6"/>
    <w:rsid w:val="00F67321"/>
    <w:rsid w:val="00F70978"/>
    <w:rsid w:val="00F71AB0"/>
    <w:rsid w:val="00F76F90"/>
    <w:rsid w:val="00F81E08"/>
    <w:rsid w:val="00F853A7"/>
    <w:rsid w:val="00F87B35"/>
    <w:rsid w:val="00F9242E"/>
    <w:rsid w:val="00F93341"/>
    <w:rsid w:val="00F96911"/>
    <w:rsid w:val="00F97F4A"/>
    <w:rsid w:val="00FA2457"/>
    <w:rsid w:val="00FA4729"/>
    <w:rsid w:val="00FA5585"/>
    <w:rsid w:val="00FA6C8E"/>
    <w:rsid w:val="00FB3019"/>
    <w:rsid w:val="00FB3F4F"/>
    <w:rsid w:val="00FB505B"/>
    <w:rsid w:val="00FB599E"/>
    <w:rsid w:val="00FC603F"/>
    <w:rsid w:val="00FC6646"/>
    <w:rsid w:val="00FC71E7"/>
    <w:rsid w:val="00FC7208"/>
    <w:rsid w:val="00FE037C"/>
    <w:rsid w:val="00FE253E"/>
    <w:rsid w:val="00FE44F6"/>
    <w:rsid w:val="00FE5794"/>
    <w:rsid w:val="00FE7C0B"/>
    <w:rsid w:val="00FF0797"/>
    <w:rsid w:val="00FF0A3D"/>
    <w:rsid w:val="00FF16D0"/>
    <w:rsid w:val="00FF1E5A"/>
    <w:rsid w:val="00FF2720"/>
    <w:rsid w:val="00FF30DD"/>
    <w:rsid w:val="00FF394F"/>
    <w:rsid w:val="00FF7A47"/>
    <w:rsid w:val="00FF7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FB07"/>
  <w15:chartTrackingRefBased/>
  <w15:docId w15:val="{E0B0362B-BD09-461C-8496-2917AFC9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E2A"/>
  </w:style>
  <w:style w:type="paragraph" w:styleId="Heading1">
    <w:name w:val="heading 1"/>
    <w:basedOn w:val="Normal"/>
    <w:next w:val="Normal"/>
    <w:link w:val="Heading1Char"/>
    <w:uiPriority w:val="9"/>
    <w:qFormat/>
    <w:rsid w:val="008418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2E2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032E2A"/>
    <w:rPr>
      <w:rFonts w:ascii="Times New Roman" w:hAnsi="Times New Roman"/>
      <w:sz w:val="20"/>
      <w:szCs w:val="20"/>
    </w:rPr>
  </w:style>
  <w:style w:type="character" w:styleId="FootnoteReference">
    <w:name w:val="footnote reference"/>
    <w:basedOn w:val="DefaultParagraphFont"/>
    <w:uiPriority w:val="99"/>
    <w:semiHidden/>
    <w:unhideWhenUsed/>
    <w:rsid w:val="004C7B97"/>
    <w:rPr>
      <w:vertAlign w:val="superscript"/>
    </w:rPr>
  </w:style>
  <w:style w:type="paragraph" w:styleId="Header">
    <w:name w:val="header"/>
    <w:basedOn w:val="Normal"/>
    <w:link w:val="HeaderChar"/>
    <w:uiPriority w:val="99"/>
    <w:unhideWhenUsed/>
    <w:rsid w:val="00D51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535"/>
  </w:style>
  <w:style w:type="paragraph" w:styleId="Footer">
    <w:name w:val="footer"/>
    <w:basedOn w:val="Normal"/>
    <w:link w:val="FooterChar"/>
    <w:uiPriority w:val="99"/>
    <w:unhideWhenUsed/>
    <w:rsid w:val="00D51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535"/>
  </w:style>
  <w:style w:type="paragraph" w:styleId="ListParagraph">
    <w:name w:val="List Paragraph"/>
    <w:basedOn w:val="Normal"/>
    <w:uiPriority w:val="34"/>
    <w:qFormat/>
    <w:rsid w:val="00D0563C"/>
    <w:pPr>
      <w:ind w:left="720"/>
      <w:contextualSpacing/>
    </w:pPr>
  </w:style>
  <w:style w:type="character" w:customStyle="1" w:styleId="Heading1Char">
    <w:name w:val="Heading 1 Char"/>
    <w:basedOn w:val="DefaultParagraphFont"/>
    <w:link w:val="Heading1"/>
    <w:uiPriority w:val="9"/>
    <w:rsid w:val="00841828"/>
    <w:rPr>
      <w:rFonts w:asciiTheme="majorHAnsi" w:eastAsiaTheme="majorEastAsia" w:hAnsiTheme="majorHAnsi" w:cstheme="majorBidi"/>
      <w:color w:val="365F91" w:themeColor="accent1" w:themeShade="BF"/>
      <w:sz w:val="32"/>
      <w:szCs w:val="32"/>
      <w:lang w:val="en-US"/>
    </w:rPr>
  </w:style>
  <w:style w:type="paragraph" w:styleId="NormalWeb">
    <w:name w:val="Normal (Web)"/>
    <w:basedOn w:val="Normal"/>
    <w:uiPriority w:val="99"/>
    <w:unhideWhenUsed/>
    <w:rsid w:val="00160A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90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7395">
      <w:bodyDiv w:val="1"/>
      <w:marLeft w:val="0"/>
      <w:marRight w:val="0"/>
      <w:marTop w:val="0"/>
      <w:marBottom w:val="0"/>
      <w:divBdr>
        <w:top w:val="none" w:sz="0" w:space="0" w:color="auto"/>
        <w:left w:val="none" w:sz="0" w:space="0" w:color="auto"/>
        <w:bottom w:val="none" w:sz="0" w:space="0" w:color="auto"/>
        <w:right w:val="none" w:sz="0" w:space="0" w:color="auto"/>
      </w:divBdr>
    </w:div>
    <w:div w:id="10126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F7D7-B56D-4BBE-9BA6-C82317ED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29</Pages>
  <Words>11549</Words>
  <Characters>65831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Moncrieff</dc:creator>
  <cp:keywords/>
  <dc:description/>
  <cp:lastModifiedBy>Ross Moncrieff</cp:lastModifiedBy>
  <cp:revision>33</cp:revision>
  <dcterms:created xsi:type="dcterms:W3CDTF">2019-03-05T11:06:00Z</dcterms:created>
  <dcterms:modified xsi:type="dcterms:W3CDTF">2020-01-22T11:57:00Z</dcterms:modified>
</cp:coreProperties>
</file>